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F1F0B4" w14:textId="77777777" w:rsidR="00B92012" w:rsidRPr="00B92012" w:rsidRDefault="00B92012" w:rsidP="00B92012">
      <w:pPr>
        <w:spacing w:after="120"/>
        <w:outlineLvl w:val="1"/>
        <w:rPr>
          <w:rFonts w:ascii="Century Schoolbook" w:eastAsia="Times New Roman" w:hAnsi="Century Schoolbook" w:cs="Times New Roman"/>
          <w:b/>
          <w:bCs/>
          <w:kern w:val="0"/>
          <w:sz w:val="32"/>
          <w:szCs w:val="32"/>
          <w:lang w:eastAsia="en-GB"/>
          <w14:ligatures w14:val="none"/>
        </w:rPr>
      </w:pPr>
      <w:r w:rsidRPr="00B92012">
        <w:rPr>
          <w:rFonts w:ascii="Century Schoolbook" w:eastAsia="Times New Roman" w:hAnsi="Century Schoolbook" w:cs="Times New Roman"/>
          <w:b/>
          <w:bCs/>
          <w:kern w:val="0"/>
          <w:sz w:val="32"/>
          <w:szCs w:val="32"/>
          <w:lang w:eastAsia="en-GB"/>
          <w14:ligatures w14:val="none"/>
        </w:rPr>
        <w:t>Post-Graduate Academic Regulations</w:t>
      </w:r>
    </w:p>
    <w:p w14:paraId="08ABEDF4" w14:textId="450BDC34"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Assam Agricultural University follows a semester-based academic system for its </w:t>
      </w:r>
      <w:r w:rsidRPr="00B92012">
        <w:rPr>
          <w:rFonts w:ascii="Century Schoolbook" w:eastAsia="Times New Roman" w:hAnsi="Century Schoolbook" w:cs="Times New Roman"/>
          <w:b/>
          <w:bCs/>
          <w:kern w:val="0"/>
          <w:sz w:val="22"/>
          <w:szCs w:val="22"/>
          <w:lang w:eastAsia="en-GB"/>
          <w14:ligatures w14:val="none"/>
        </w:rPr>
        <w:t>Post-Graduate Degree Programmes</w:t>
      </w:r>
      <w:r w:rsidRPr="00B92012">
        <w:rPr>
          <w:rFonts w:ascii="Century Schoolbook" w:eastAsia="Times New Roman" w:hAnsi="Century Schoolbook" w:cs="Times New Roman"/>
          <w:kern w:val="0"/>
          <w:sz w:val="22"/>
          <w:szCs w:val="22"/>
          <w:lang w:eastAsia="en-GB"/>
          <w14:ligatures w14:val="none"/>
        </w:rPr>
        <w:t xml:space="preserve"> under the </w:t>
      </w:r>
      <w:r w:rsidRPr="00B92012">
        <w:rPr>
          <w:rFonts w:ascii="Century Schoolbook" w:eastAsia="Times New Roman" w:hAnsi="Century Schoolbook" w:cs="Times New Roman"/>
          <w:i/>
          <w:iCs/>
          <w:kern w:val="0"/>
          <w:sz w:val="22"/>
          <w:szCs w:val="22"/>
          <w:lang w:eastAsia="en-GB"/>
          <w14:ligatures w14:val="none"/>
        </w:rPr>
        <w:t>Regulations on Academic Matters of Assam Agricultural University, 2022 (Amended)</w:t>
      </w:r>
      <w:r w:rsidRPr="00B92012">
        <w:rPr>
          <w:rFonts w:ascii="Century Schoolbook" w:eastAsia="Times New Roman" w:hAnsi="Century Schoolbook" w:cs="Times New Roman"/>
          <w:kern w:val="0"/>
          <w:sz w:val="22"/>
          <w:szCs w:val="22"/>
          <w:lang w:eastAsia="en-GB"/>
          <w14:ligatures w14:val="none"/>
        </w:rPr>
        <w:t xml:space="preserve">. The amended regulations and accompanying Academic Guidelines were approved by the Academic Council and are applicable from the </w:t>
      </w:r>
      <w:r w:rsidRPr="00B92012">
        <w:rPr>
          <w:rFonts w:ascii="Century Schoolbook" w:eastAsia="Times New Roman" w:hAnsi="Century Schoolbook" w:cs="Times New Roman"/>
          <w:b/>
          <w:bCs/>
          <w:kern w:val="0"/>
          <w:sz w:val="22"/>
          <w:szCs w:val="22"/>
          <w:lang w:eastAsia="en-GB"/>
          <w14:ligatures w14:val="none"/>
        </w:rPr>
        <w:t>Academic Session 2022–23</w:t>
      </w:r>
      <w:r w:rsidRPr="00B92012">
        <w:rPr>
          <w:rFonts w:ascii="Century Schoolbook" w:eastAsia="Times New Roman" w:hAnsi="Century Schoolbook" w:cs="Times New Roman"/>
          <w:kern w:val="0"/>
          <w:sz w:val="22"/>
          <w:szCs w:val="22"/>
          <w:lang w:eastAsia="en-GB"/>
          <w14:ligatures w14:val="none"/>
        </w:rPr>
        <w:t xml:space="preserve">. They govern students seeking admission to and admitted in the University and supersede the earlier PG regulations. </w:t>
      </w:r>
    </w:p>
    <w:p w14:paraId="46D464D5" w14:textId="77777777" w:rsidR="00B92012" w:rsidRPr="00B92012" w:rsidRDefault="00B92012" w:rsidP="00B92012">
      <w:pPr>
        <w:spacing w:after="120"/>
        <w:outlineLvl w:val="2"/>
        <w:rPr>
          <w:rFonts w:ascii="Century Schoolbook" w:eastAsia="Times New Roman" w:hAnsi="Century Schoolbook" w:cs="Times New Roman"/>
          <w:b/>
          <w:bCs/>
          <w:kern w:val="0"/>
          <w:szCs w:val="24"/>
          <w:lang w:eastAsia="en-GB"/>
          <w14:ligatures w14:val="none"/>
        </w:rPr>
      </w:pPr>
      <w:r w:rsidRPr="00B92012">
        <w:rPr>
          <w:rFonts w:ascii="Century Schoolbook" w:eastAsia="Times New Roman" w:hAnsi="Century Schoolbook" w:cs="Times New Roman"/>
          <w:b/>
          <w:bCs/>
          <w:kern w:val="0"/>
          <w:szCs w:val="24"/>
          <w:lang w:eastAsia="en-GB"/>
          <w14:ligatures w14:val="none"/>
        </w:rPr>
        <w:t>Academic Structure</w:t>
      </w:r>
    </w:p>
    <w:p w14:paraId="5D2D2C40" w14:textId="5032B9B9"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The academic year ordinarily extends from </w:t>
      </w:r>
      <w:r w:rsidRPr="00B92012">
        <w:rPr>
          <w:rFonts w:ascii="Century Schoolbook" w:eastAsia="Times New Roman" w:hAnsi="Century Schoolbook" w:cs="Times New Roman"/>
          <w:b/>
          <w:bCs/>
          <w:kern w:val="0"/>
          <w:sz w:val="22"/>
          <w:szCs w:val="22"/>
          <w:lang w:eastAsia="en-GB"/>
          <w14:ligatures w14:val="none"/>
        </w:rPr>
        <w:t>August to July</w:t>
      </w:r>
      <w:r w:rsidRPr="00B92012">
        <w:rPr>
          <w:rFonts w:ascii="Century Schoolbook" w:eastAsia="Times New Roman" w:hAnsi="Century Schoolbook" w:cs="Times New Roman"/>
          <w:kern w:val="0"/>
          <w:sz w:val="22"/>
          <w:szCs w:val="22"/>
          <w:lang w:eastAsia="en-GB"/>
          <w14:ligatures w14:val="none"/>
        </w:rPr>
        <w:t xml:space="preserve"> and consists of two semesters. A semester comprises a minimum of </w:t>
      </w:r>
      <w:r w:rsidRPr="00B92012">
        <w:rPr>
          <w:rFonts w:ascii="Century Schoolbook" w:eastAsia="Times New Roman" w:hAnsi="Century Schoolbook" w:cs="Times New Roman"/>
          <w:b/>
          <w:bCs/>
          <w:kern w:val="0"/>
          <w:sz w:val="22"/>
          <w:szCs w:val="22"/>
          <w:lang w:eastAsia="en-GB"/>
          <w14:ligatures w14:val="none"/>
        </w:rPr>
        <w:t>110 working days</w:t>
      </w:r>
      <w:r w:rsidRPr="00B92012">
        <w:rPr>
          <w:rFonts w:ascii="Century Schoolbook" w:eastAsia="Times New Roman" w:hAnsi="Century Schoolbook" w:cs="Times New Roman"/>
          <w:kern w:val="0"/>
          <w:sz w:val="22"/>
          <w:szCs w:val="22"/>
          <w:lang w:eastAsia="en-GB"/>
          <w14:ligatures w14:val="none"/>
        </w:rPr>
        <w:t xml:space="preserve">, including 95 instructional days and 15 examination days. The academic calendar covers registration, advisement, commencement of instruction, examinations, holidays and other academic and co-curricular activities. </w:t>
      </w:r>
    </w:p>
    <w:p w14:paraId="29076A2B" w14:textId="730B833D"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Post-graduate programmes are structured around </w:t>
      </w:r>
      <w:r w:rsidRPr="00B92012">
        <w:rPr>
          <w:rFonts w:ascii="Century Schoolbook" w:eastAsia="Times New Roman" w:hAnsi="Century Schoolbook" w:cs="Times New Roman"/>
          <w:b/>
          <w:bCs/>
          <w:kern w:val="0"/>
          <w:sz w:val="22"/>
          <w:szCs w:val="22"/>
          <w:lang w:eastAsia="en-GB"/>
          <w14:ligatures w14:val="none"/>
        </w:rPr>
        <w:t>major, minor and supporting disciplines</w:t>
      </w:r>
      <w:r w:rsidRPr="00B92012">
        <w:rPr>
          <w:rFonts w:ascii="Century Schoolbook" w:eastAsia="Times New Roman" w:hAnsi="Century Schoolbook" w:cs="Times New Roman"/>
          <w:kern w:val="0"/>
          <w:sz w:val="22"/>
          <w:szCs w:val="22"/>
          <w:lang w:eastAsia="en-GB"/>
          <w14:ligatures w14:val="none"/>
        </w:rPr>
        <w:t xml:space="preserve">, together with common, optional, prerequisite, deficiency, elective and bridge courses wherever applicable. Students whose major or minor discipline is other than Statistics are required to complete the prescribed supporting coursework in Statistics. Students entering from non-agricultural backgrounds may also be required to undertake bridge courses as determined by the concerned academic bodies. </w:t>
      </w:r>
    </w:p>
    <w:p w14:paraId="1C80C213" w14:textId="77777777" w:rsidR="00B92012" w:rsidRPr="00B92012" w:rsidRDefault="00B92012" w:rsidP="00B92012">
      <w:pPr>
        <w:spacing w:after="120"/>
        <w:outlineLvl w:val="2"/>
        <w:rPr>
          <w:rFonts w:ascii="Century Schoolbook" w:eastAsia="Times New Roman" w:hAnsi="Century Schoolbook" w:cs="Times New Roman"/>
          <w:b/>
          <w:bCs/>
          <w:kern w:val="0"/>
          <w:szCs w:val="24"/>
          <w:lang w:eastAsia="en-GB"/>
          <w14:ligatures w14:val="none"/>
        </w:rPr>
      </w:pPr>
      <w:r w:rsidRPr="00B92012">
        <w:rPr>
          <w:rFonts w:ascii="Century Schoolbook" w:eastAsia="Times New Roman" w:hAnsi="Century Schoolbook" w:cs="Times New Roman"/>
          <w:b/>
          <w:bCs/>
          <w:kern w:val="0"/>
          <w:szCs w:val="24"/>
          <w:lang w:eastAsia="en-GB"/>
          <w14:ligatures w14:val="none"/>
        </w:rPr>
        <w:t>Degree Programmes and Duration</w:t>
      </w:r>
    </w:p>
    <w:p w14:paraId="12A20D33"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The Regulations cover Master's and Ph.D. programmes offered by the different Faculties of the University. The normal minimum and maximum residential requirements 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18"/>
        <w:gridCol w:w="3269"/>
        <w:gridCol w:w="3329"/>
      </w:tblGrid>
      <w:tr w:rsidR="00B92012" w:rsidRPr="00B92012" w14:paraId="76F9198A" w14:textId="77777777" w:rsidTr="00B92012">
        <w:trPr>
          <w:tblHeader/>
        </w:trPr>
        <w:tc>
          <w:tcPr>
            <w:tcW w:w="1314" w:type="pct"/>
            <w:vAlign w:val="center"/>
            <w:hideMark/>
          </w:tcPr>
          <w:p w14:paraId="6DE11D24" w14:textId="77777777" w:rsidR="00B92012" w:rsidRPr="00B92012" w:rsidRDefault="00B92012" w:rsidP="00B92012">
            <w:pPr>
              <w:spacing w:after="120"/>
              <w:rPr>
                <w:rFonts w:ascii="Century Schoolbook" w:eastAsia="Times New Roman" w:hAnsi="Century Schoolbook" w:cs="Times New Roman"/>
                <w:b/>
                <w:bCs/>
                <w:kern w:val="0"/>
                <w:sz w:val="22"/>
                <w:szCs w:val="22"/>
                <w:lang w:eastAsia="en-GB"/>
                <w14:ligatures w14:val="none"/>
              </w:rPr>
            </w:pPr>
            <w:r w:rsidRPr="00B92012">
              <w:rPr>
                <w:rFonts w:ascii="Century Schoolbook" w:eastAsia="Times New Roman" w:hAnsi="Century Schoolbook" w:cs="Times New Roman"/>
                <w:b/>
                <w:bCs/>
                <w:kern w:val="0"/>
                <w:sz w:val="22"/>
                <w:szCs w:val="22"/>
                <w:lang w:eastAsia="en-GB"/>
                <w14:ligatures w14:val="none"/>
              </w:rPr>
              <w:t>Programme</w:t>
            </w:r>
          </w:p>
        </w:tc>
        <w:tc>
          <w:tcPr>
            <w:tcW w:w="1777" w:type="pct"/>
            <w:vAlign w:val="center"/>
            <w:hideMark/>
          </w:tcPr>
          <w:p w14:paraId="7027D015" w14:textId="77777777" w:rsidR="00B92012" w:rsidRPr="00B92012" w:rsidRDefault="00B92012" w:rsidP="00B92012">
            <w:pPr>
              <w:spacing w:after="120"/>
              <w:jc w:val="center"/>
              <w:rPr>
                <w:rFonts w:ascii="Century Schoolbook" w:eastAsia="Times New Roman" w:hAnsi="Century Schoolbook" w:cs="Times New Roman"/>
                <w:b/>
                <w:bCs/>
                <w:kern w:val="0"/>
                <w:sz w:val="22"/>
                <w:szCs w:val="22"/>
                <w:lang w:eastAsia="en-GB"/>
                <w14:ligatures w14:val="none"/>
              </w:rPr>
            </w:pPr>
            <w:r w:rsidRPr="00B92012">
              <w:rPr>
                <w:rFonts w:ascii="Century Schoolbook" w:eastAsia="Times New Roman" w:hAnsi="Century Schoolbook" w:cs="Times New Roman"/>
                <w:b/>
                <w:bCs/>
                <w:kern w:val="0"/>
                <w:sz w:val="22"/>
                <w:szCs w:val="22"/>
                <w:lang w:eastAsia="en-GB"/>
                <w14:ligatures w14:val="none"/>
              </w:rPr>
              <w:t>Minimum Residence</w:t>
            </w:r>
          </w:p>
        </w:tc>
        <w:tc>
          <w:tcPr>
            <w:tcW w:w="1809" w:type="pct"/>
            <w:vAlign w:val="center"/>
            <w:hideMark/>
          </w:tcPr>
          <w:p w14:paraId="4266A5F2" w14:textId="77777777" w:rsidR="00B92012" w:rsidRPr="00B92012" w:rsidRDefault="00B92012" w:rsidP="00B92012">
            <w:pPr>
              <w:spacing w:after="120"/>
              <w:jc w:val="center"/>
              <w:rPr>
                <w:rFonts w:ascii="Century Schoolbook" w:eastAsia="Times New Roman" w:hAnsi="Century Schoolbook" w:cs="Times New Roman"/>
                <w:b/>
                <w:bCs/>
                <w:kern w:val="0"/>
                <w:sz w:val="22"/>
                <w:szCs w:val="22"/>
                <w:lang w:eastAsia="en-GB"/>
                <w14:ligatures w14:val="none"/>
              </w:rPr>
            </w:pPr>
            <w:r w:rsidRPr="00B92012">
              <w:rPr>
                <w:rFonts w:ascii="Century Schoolbook" w:eastAsia="Times New Roman" w:hAnsi="Century Schoolbook" w:cs="Times New Roman"/>
                <w:b/>
                <w:bCs/>
                <w:kern w:val="0"/>
                <w:sz w:val="22"/>
                <w:szCs w:val="22"/>
                <w:lang w:eastAsia="en-GB"/>
                <w14:ligatures w14:val="none"/>
              </w:rPr>
              <w:t>Maximum Residence</w:t>
            </w:r>
          </w:p>
        </w:tc>
      </w:tr>
      <w:tr w:rsidR="00B92012" w:rsidRPr="00B92012" w14:paraId="5E3EFA54" w14:textId="77777777" w:rsidTr="00B92012">
        <w:tc>
          <w:tcPr>
            <w:tcW w:w="1314" w:type="pct"/>
            <w:vAlign w:val="center"/>
            <w:hideMark/>
          </w:tcPr>
          <w:p w14:paraId="4D55C129"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Master's Degree</w:t>
            </w:r>
          </w:p>
        </w:tc>
        <w:tc>
          <w:tcPr>
            <w:tcW w:w="1777" w:type="pct"/>
            <w:vAlign w:val="center"/>
            <w:hideMark/>
          </w:tcPr>
          <w:p w14:paraId="6DE02FD0" w14:textId="77777777" w:rsidR="00B92012" w:rsidRPr="00B92012" w:rsidRDefault="00B92012" w:rsidP="00B92012">
            <w:pPr>
              <w:spacing w:after="120"/>
              <w:jc w:val="center"/>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4 semesters</w:t>
            </w:r>
          </w:p>
        </w:tc>
        <w:tc>
          <w:tcPr>
            <w:tcW w:w="1809" w:type="pct"/>
            <w:vAlign w:val="center"/>
            <w:hideMark/>
          </w:tcPr>
          <w:p w14:paraId="4C972A4F" w14:textId="77777777" w:rsidR="00B92012" w:rsidRPr="00B92012" w:rsidRDefault="00B92012" w:rsidP="00B92012">
            <w:pPr>
              <w:spacing w:after="120"/>
              <w:jc w:val="center"/>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10 semesters</w:t>
            </w:r>
          </w:p>
        </w:tc>
      </w:tr>
      <w:tr w:rsidR="00B92012" w:rsidRPr="00B92012" w14:paraId="1CE555BD" w14:textId="77777777" w:rsidTr="00B92012">
        <w:tc>
          <w:tcPr>
            <w:tcW w:w="1314" w:type="pct"/>
            <w:vAlign w:val="center"/>
            <w:hideMark/>
          </w:tcPr>
          <w:p w14:paraId="31165C5B"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Ph.D. Degree</w:t>
            </w:r>
          </w:p>
        </w:tc>
        <w:tc>
          <w:tcPr>
            <w:tcW w:w="1777" w:type="pct"/>
            <w:vAlign w:val="center"/>
            <w:hideMark/>
          </w:tcPr>
          <w:p w14:paraId="41E1E1DB" w14:textId="77777777" w:rsidR="00B92012" w:rsidRPr="00B92012" w:rsidRDefault="00B92012" w:rsidP="00B92012">
            <w:pPr>
              <w:spacing w:after="120"/>
              <w:jc w:val="center"/>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6 semesters</w:t>
            </w:r>
          </w:p>
        </w:tc>
        <w:tc>
          <w:tcPr>
            <w:tcW w:w="1809" w:type="pct"/>
            <w:vAlign w:val="center"/>
            <w:hideMark/>
          </w:tcPr>
          <w:p w14:paraId="11A25D63" w14:textId="77777777" w:rsidR="00B92012" w:rsidRPr="00B92012" w:rsidRDefault="00B92012" w:rsidP="00B92012">
            <w:pPr>
              <w:spacing w:after="120"/>
              <w:jc w:val="center"/>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14 semesters</w:t>
            </w:r>
          </w:p>
        </w:tc>
      </w:tr>
    </w:tbl>
    <w:p w14:paraId="25170509" w14:textId="1BB6BEE3"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Failure to complete the degree within the prescribed maximum period normally results in cancellation of admission. Specific provisions apply to research personnel, in-service candidates and students from non-agricultural backgrounds. </w:t>
      </w:r>
    </w:p>
    <w:p w14:paraId="7F28E7C8" w14:textId="77777777" w:rsidR="00B92012" w:rsidRPr="00B92012" w:rsidRDefault="00B92012" w:rsidP="00B92012">
      <w:pPr>
        <w:spacing w:after="120"/>
        <w:outlineLvl w:val="2"/>
        <w:rPr>
          <w:rFonts w:ascii="Century Schoolbook" w:eastAsia="Times New Roman" w:hAnsi="Century Schoolbook" w:cs="Times New Roman"/>
          <w:b/>
          <w:bCs/>
          <w:kern w:val="0"/>
          <w:szCs w:val="24"/>
          <w:lang w:eastAsia="en-GB"/>
          <w14:ligatures w14:val="none"/>
        </w:rPr>
      </w:pPr>
      <w:r w:rsidRPr="00B92012">
        <w:rPr>
          <w:rFonts w:ascii="Century Schoolbook" w:eastAsia="Times New Roman" w:hAnsi="Century Schoolbook" w:cs="Times New Roman"/>
          <w:b/>
          <w:bCs/>
          <w:kern w:val="0"/>
          <w:szCs w:val="24"/>
          <w:lang w:eastAsia="en-GB"/>
          <w14:ligatures w14:val="none"/>
        </w:rPr>
        <w:t>Admission</w:t>
      </w:r>
    </w:p>
    <w:p w14:paraId="5F50E8BA"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Admission notifications are issued by the Registrar and published on the University website. Candidates are required to apply online and selection is ordinarily made strictly on merit in accordance with the prevailing regulations and the Information Bulletin.</w:t>
      </w:r>
    </w:p>
    <w:p w14:paraId="3DFD1830" w14:textId="4CC5CA8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The University offers post-graduate programmes including </w:t>
      </w:r>
      <w:r w:rsidRPr="00B92012">
        <w:rPr>
          <w:rFonts w:ascii="Century Schoolbook" w:eastAsia="Times New Roman" w:hAnsi="Century Schoolbook" w:cs="Times New Roman"/>
          <w:b/>
          <w:bCs/>
          <w:kern w:val="0"/>
          <w:sz w:val="22"/>
          <w:szCs w:val="22"/>
          <w:lang w:eastAsia="en-GB"/>
          <w14:ligatures w14:val="none"/>
        </w:rPr>
        <w:t xml:space="preserve">M.Sc. (Agri.), </w:t>
      </w:r>
      <w:proofErr w:type="spellStart"/>
      <w:r w:rsidRPr="00B92012">
        <w:rPr>
          <w:rFonts w:ascii="Century Schoolbook" w:eastAsia="Times New Roman" w:hAnsi="Century Schoolbook" w:cs="Times New Roman"/>
          <w:b/>
          <w:bCs/>
          <w:kern w:val="0"/>
          <w:sz w:val="22"/>
          <w:szCs w:val="22"/>
          <w:lang w:eastAsia="en-GB"/>
          <w14:ligatures w14:val="none"/>
        </w:rPr>
        <w:t>M.V.Sc</w:t>
      </w:r>
      <w:proofErr w:type="spellEnd"/>
      <w:r w:rsidRPr="00B92012">
        <w:rPr>
          <w:rFonts w:ascii="Century Schoolbook" w:eastAsia="Times New Roman" w:hAnsi="Century Schoolbook" w:cs="Times New Roman"/>
          <w:b/>
          <w:bCs/>
          <w:kern w:val="0"/>
          <w:sz w:val="22"/>
          <w:szCs w:val="22"/>
          <w:lang w:eastAsia="en-GB"/>
          <w14:ligatures w14:val="none"/>
        </w:rPr>
        <w:t xml:space="preserve">., M.Sc. (Community Science), M.Sc. (Agri.) in Sericulture, MBA (Agri Business), </w:t>
      </w:r>
      <w:proofErr w:type="spellStart"/>
      <w:r w:rsidRPr="00B92012">
        <w:rPr>
          <w:rFonts w:ascii="Century Schoolbook" w:eastAsia="Times New Roman" w:hAnsi="Century Schoolbook" w:cs="Times New Roman"/>
          <w:b/>
          <w:bCs/>
          <w:kern w:val="0"/>
          <w:sz w:val="22"/>
          <w:szCs w:val="22"/>
          <w:lang w:eastAsia="en-GB"/>
          <w14:ligatures w14:val="none"/>
        </w:rPr>
        <w:t>M.F.Sc</w:t>
      </w:r>
      <w:proofErr w:type="spellEnd"/>
      <w:r w:rsidRPr="00B92012">
        <w:rPr>
          <w:rFonts w:ascii="Century Schoolbook" w:eastAsia="Times New Roman" w:hAnsi="Century Schoolbook" w:cs="Times New Roman"/>
          <w:b/>
          <w:bCs/>
          <w:kern w:val="0"/>
          <w:sz w:val="22"/>
          <w:szCs w:val="22"/>
          <w:lang w:eastAsia="en-GB"/>
          <w14:ligatures w14:val="none"/>
        </w:rPr>
        <w:t xml:space="preserve">., M.Sc. in Agricultural Biotechnology, </w:t>
      </w:r>
      <w:proofErr w:type="spellStart"/>
      <w:r w:rsidRPr="00B92012">
        <w:rPr>
          <w:rFonts w:ascii="Century Schoolbook" w:eastAsia="Times New Roman" w:hAnsi="Century Schoolbook" w:cs="Times New Roman"/>
          <w:b/>
          <w:bCs/>
          <w:kern w:val="0"/>
          <w:sz w:val="22"/>
          <w:szCs w:val="22"/>
          <w:lang w:eastAsia="en-GB"/>
          <w14:ligatures w14:val="none"/>
        </w:rPr>
        <w:t>M.Tech</w:t>
      </w:r>
      <w:proofErr w:type="spellEnd"/>
      <w:r w:rsidRPr="00B92012">
        <w:rPr>
          <w:rFonts w:ascii="Century Schoolbook" w:eastAsia="Times New Roman" w:hAnsi="Century Schoolbook" w:cs="Times New Roman"/>
          <w:b/>
          <w:bCs/>
          <w:kern w:val="0"/>
          <w:sz w:val="22"/>
          <w:szCs w:val="22"/>
          <w:lang w:eastAsia="en-GB"/>
          <w14:ligatures w14:val="none"/>
        </w:rPr>
        <w:t xml:space="preserve"> (Food Processing Technology)</w:t>
      </w:r>
      <w:r w:rsidRPr="00B92012">
        <w:rPr>
          <w:rFonts w:ascii="Century Schoolbook" w:eastAsia="Times New Roman" w:hAnsi="Century Schoolbook" w:cs="Times New Roman"/>
          <w:kern w:val="0"/>
          <w:sz w:val="22"/>
          <w:szCs w:val="22"/>
          <w:lang w:eastAsia="en-GB"/>
          <w14:ligatures w14:val="none"/>
        </w:rPr>
        <w:t xml:space="preserve"> and various Ph.D. programmes. Eligibility requirements differ according to the programme and are prescribed in the Information Bulletin issued for each admission session. </w:t>
      </w:r>
    </w:p>
    <w:p w14:paraId="3195C381" w14:textId="5AF7827F"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In-service candidates are required to submit the prescribed release order or No Objection Certificate. Admission to specified biotechnology programmes may be based on national-level examinations such as GAT-B. International students are facilitated through the University's International Students Advisory Cell. </w:t>
      </w:r>
    </w:p>
    <w:p w14:paraId="5979EC13" w14:textId="77777777" w:rsidR="00B92012" w:rsidRPr="00B92012" w:rsidRDefault="00B92012" w:rsidP="00B92012">
      <w:pPr>
        <w:spacing w:after="120"/>
        <w:outlineLvl w:val="2"/>
        <w:rPr>
          <w:rFonts w:ascii="Century Schoolbook" w:eastAsia="Times New Roman" w:hAnsi="Century Schoolbook" w:cs="Times New Roman"/>
          <w:b/>
          <w:bCs/>
          <w:kern w:val="0"/>
          <w:szCs w:val="24"/>
          <w:lang w:eastAsia="en-GB"/>
          <w14:ligatures w14:val="none"/>
        </w:rPr>
      </w:pPr>
      <w:r w:rsidRPr="00B92012">
        <w:rPr>
          <w:rFonts w:ascii="Century Schoolbook" w:eastAsia="Times New Roman" w:hAnsi="Century Schoolbook" w:cs="Times New Roman"/>
          <w:b/>
          <w:bCs/>
          <w:kern w:val="0"/>
          <w:szCs w:val="24"/>
          <w:lang w:eastAsia="en-GB"/>
          <w14:ligatures w14:val="none"/>
        </w:rPr>
        <w:t>Students' Advisory Committee and Major Adviser</w:t>
      </w:r>
    </w:p>
    <w:p w14:paraId="3562884B" w14:textId="645619BA"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lastRenderedPageBreak/>
        <w:t xml:space="preserve">Every post-graduate student works under the guidance of a </w:t>
      </w:r>
      <w:r w:rsidRPr="00B92012">
        <w:rPr>
          <w:rFonts w:ascii="Century Schoolbook" w:eastAsia="Times New Roman" w:hAnsi="Century Schoolbook" w:cs="Times New Roman"/>
          <w:b/>
          <w:bCs/>
          <w:kern w:val="0"/>
          <w:sz w:val="22"/>
          <w:szCs w:val="22"/>
          <w:lang w:eastAsia="en-GB"/>
          <w14:ligatures w14:val="none"/>
        </w:rPr>
        <w:t>Major Adviser</w:t>
      </w:r>
      <w:r w:rsidRPr="00B92012">
        <w:rPr>
          <w:rFonts w:ascii="Century Schoolbook" w:eastAsia="Times New Roman" w:hAnsi="Century Schoolbook" w:cs="Times New Roman"/>
          <w:kern w:val="0"/>
          <w:sz w:val="22"/>
          <w:szCs w:val="22"/>
          <w:lang w:eastAsia="en-GB"/>
          <w14:ligatures w14:val="none"/>
        </w:rPr>
        <w:t xml:space="preserve"> and a </w:t>
      </w:r>
      <w:r w:rsidRPr="00B92012">
        <w:rPr>
          <w:rFonts w:ascii="Century Schoolbook" w:eastAsia="Times New Roman" w:hAnsi="Century Schoolbook" w:cs="Times New Roman"/>
          <w:b/>
          <w:bCs/>
          <w:kern w:val="0"/>
          <w:sz w:val="22"/>
          <w:szCs w:val="22"/>
          <w:lang w:eastAsia="en-GB"/>
          <w14:ligatures w14:val="none"/>
        </w:rPr>
        <w:t>Students' Advisory Committee (SAC)</w:t>
      </w:r>
      <w:r w:rsidRPr="00B92012">
        <w:rPr>
          <w:rFonts w:ascii="Century Schoolbook" w:eastAsia="Times New Roman" w:hAnsi="Century Schoolbook" w:cs="Times New Roman"/>
          <w:kern w:val="0"/>
          <w:sz w:val="22"/>
          <w:szCs w:val="22"/>
          <w:lang w:eastAsia="en-GB"/>
          <w14:ligatures w14:val="none"/>
        </w:rPr>
        <w:t xml:space="preserve"> comprising faculty members from relevant major, minor and supporting disciplines. The Major Adviser guides the student in coursework and research, assists in preparation of the research synopsis and Programme of Work, monitors progress and coordinates thesis-related academic requirements. </w:t>
      </w:r>
    </w:p>
    <w:p w14:paraId="20137499"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The SAC reviews the student's academic and research progress and normally meets at least once every semester.</w:t>
      </w:r>
    </w:p>
    <w:p w14:paraId="256CD2C6" w14:textId="77777777" w:rsidR="00B92012" w:rsidRPr="00B92012" w:rsidRDefault="00B92012" w:rsidP="00B92012">
      <w:pPr>
        <w:spacing w:after="120"/>
        <w:outlineLvl w:val="2"/>
        <w:rPr>
          <w:rFonts w:ascii="Century Schoolbook" w:eastAsia="Times New Roman" w:hAnsi="Century Schoolbook" w:cs="Times New Roman"/>
          <w:b/>
          <w:bCs/>
          <w:kern w:val="0"/>
          <w:szCs w:val="24"/>
          <w:lang w:eastAsia="en-GB"/>
          <w14:ligatures w14:val="none"/>
        </w:rPr>
      </w:pPr>
      <w:r w:rsidRPr="00B92012">
        <w:rPr>
          <w:rFonts w:ascii="Century Schoolbook" w:eastAsia="Times New Roman" w:hAnsi="Century Schoolbook" w:cs="Times New Roman"/>
          <w:b/>
          <w:bCs/>
          <w:kern w:val="0"/>
          <w:szCs w:val="24"/>
          <w:lang w:eastAsia="en-GB"/>
          <w14:ligatures w14:val="none"/>
        </w:rPr>
        <w:t>Programme of Work and Course Registration</w:t>
      </w:r>
    </w:p>
    <w:p w14:paraId="5ADEAA74"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Each student is required to prepare a comprehensive </w:t>
      </w:r>
      <w:r w:rsidRPr="00B92012">
        <w:rPr>
          <w:rFonts w:ascii="Century Schoolbook" w:eastAsia="Times New Roman" w:hAnsi="Century Schoolbook" w:cs="Times New Roman"/>
          <w:b/>
          <w:bCs/>
          <w:kern w:val="0"/>
          <w:sz w:val="22"/>
          <w:szCs w:val="22"/>
          <w:lang w:eastAsia="en-GB"/>
          <w14:ligatures w14:val="none"/>
        </w:rPr>
        <w:t>Post-Graduate Programme of Work (PPW)</w:t>
      </w:r>
      <w:r w:rsidRPr="00B92012">
        <w:rPr>
          <w:rFonts w:ascii="Century Schoolbook" w:eastAsia="Times New Roman" w:hAnsi="Century Schoolbook" w:cs="Times New Roman"/>
          <w:kern w:val="0"/>
          <w:sz w:val="22"/>
          <w:szCs w:val="22"/>
          <w:lang w:eastAsia="en-GB"/>
          <w14:ligatures w14:val="none"/>
        </w:rPr>
        <w:t xml:space="preserve"> in consultation with the Major Adviser. The Programme of Work is finalized by the SAC and must ordinarily be submitted to the Director of Post-Graduate Studies through the Head of Department within </w:t>
      </w:r>
      <w:r w:rsidRPr="00B92012">
        <w:rPr>
          <w:rFonts w:ascii="Century Schoolbook" w:eastAsia="Times New Roman" w:hAnsi="Century Schoolbook" w:cs="Times New Roman"/>
          <w:b/>
          <w:bCs/>
          <w:kern w:val="0"/>
          <w:sz w:val="22"/>
          <w:szCs w:val="22"/>
          <w:lang w:eastAsia="en-GB"/>
          <w14:ligatures w14:val="none"/>
        </w:rPr>
        <w:t>90 days of admission</w:t>
      </w:r>
      <w:r w:rsidRPr="00B92012">
        <w:rPr>
          <w:rFonts w:ascii="Century Schoolbook" w:eastAsia="Times New Roman" w:hAnsi="Century Schoolbook" w:cs="Times New Roman"/>
          <w:kern w:val="0"/>
          <w:sz w:val="22"/>
          <w:szCs w:val="22"/>
          <w:lang w:eastAsia="en-GB"/>
          <w14:ligatures w14:val="none"/>
        </w:rPr>
        <w:t>.</w:t>
      </w:r>
    </w:p>
    <w:p w14:paraId="2B3E0AA5"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At the beginning of each semester, students register for courses and research work in consultation with their Major Adviser. Addition or withdrawal of courses may be permitted within </w:t>
      </w:r>
      <w:r w:rsidRPr="00B92012">
        <w:rPr>
          <w:rFonts w:ascii="Century Schoolbook" w:eastAsia="Times New Roman" w:hAnsi="Century Schoolbook" w:cs="Times New Roman"/>
          <w:b/>
          <w:bCs/>
          <w:kern w:val="0"/>
          <w:sz w:val="22"/>
          <w:szCs w:val="22"/>
          <w:lang w:eastAsia="en-GB"/>
          <w14:ligatures w14:val="none"/>
        </w:rPr>
        <w:t>15 days from commencement of the semester</w:t>
      </w:r>
      <w:r w:rsidRPr="00B92012">
        <w:rPr>
          <w:rFonts w:ascii="Century Schoolbook" w:eastAsia="Times New Roman" w:hAnsi="Century Schoolbook" w:cs="Times New Roman"/>
          <w:kern w:val="0"/>
          <w:sz w:val="22"/>
          <w:szCs w:val="22"/>
          <w:lang w:eastAsia="en-GB"/>
          <w14:ligatures w14:val="none"/>
        </w:rPr>
        <w:t>, subject to prescribed academic workload requirements.</w:t>
      </w:r>
    </w:p>
    <w:p w14:paraId="062B2201" w14:textId="77777777" w:rsidR="00B92012" w:rsidRPr="00B92012" w:rsidRDefault="00B92012" w:rsidP="00B92012">
      <w:pPr>
        <w:spacing w:after="120"/>
        <w:outlineLvl w:val="2"/>
        <w:rPr>
          <w:rFonts w:ascii="Century Schoolbook" w:eastAsia="Times New Roman" w:hAnsi="Century Schoolbook" w:cs="Times New Roman"/>
          <w:b/>
          <w:bCs/>
          <w:kern w:val="0"/>
          <w:szCs w:val="24"/>
          <w:lang w:eastAsia="en-GB"/>
          <w14:ligatures w14:val="none"/>
        </w:rPr>
      </w:pPr>
      <w:r w:rsidRPr="00B92012">
        <w:rPr>
          <w:rFonts w:ascii="Century Schoolbook" w:eastAsia="Times New Roman" w:hAnsi="Century Schoolbook" w:cs="Times New Roman"/>
          <w:b/>
          <w:bCs/>
          <w:kern w:val="0"/>
          <w:szCs w:val="24"/>
          <w:lang w:eastAsia="en-GB"/>
          <w14:ligatures w14:val="none"/>
        </w:rPr>
        <w:t>Course and Credit Requirements</w:t>
      </w:r>
    </w:p>
    <w:p w14:paraId="3FC42D78"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The total credit requirement of a student is determined by the Students' Advisory Committee on the basis of the programme and academic background. The curriculum may include:</w:t>
      </w:r>
    </w:p>
    <w:p w14:paraId="64113BC5" w14:textId="77777777" w:rsidR="00B92012" w:rsidRPr="00B92012" w:rsidRDefault="00B92012" w:rsidP="00B92012">
      <w:pPr>
        <w:numPr>
          <w:ilvl w:val="0"/>
          <w:numId w:val="1"/>
        </w:numPr>
        <w:ind w:left="714" w:hanging="357"/>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Major/core and optional courses;</w:t>
      </w:r>
    </w:p>
    <w:p w14:paraId="042ED2FB" w14:textId="77777777" w:rsidR="00B92012" w:rsidRPr="00B92012" w:rsidRDefault="00B92012" w:rsidP="00B92012">
      <w:pPr>
        <w:numPr>
          <w:ilvl w:val="0"/>
          <w:numId w:val="1"/>
        </w:numPr>
        <w:ind w:left="714" w:hanging="357"/>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Minor and supporting courses;</w:t>
      </w:r>
    </w:p>
    <w:p w14:paraId="13609591" w14:textId="77777777" w:rsidR="00B92012" w:rsidRPr="00B92012" w:rsidRDefault="00B92012" w:rsidP="00B92012">
      <w:pPr>
        <w:numPr>
          <w:ilvl w:val="0"/>
          <w:numId w:val="1"/>
        </w:numPr>
        <w:ind w:left="714" w:hanging="357"/>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Common courses;</w:t>
      </w:r>
    </w:p>
    <w:p w14:paraId="7B569FDB" w14:textId="77777777" w:rsidR="00B92012" w:rsidRPr="00B92012" w:rsidRDefault="00B92012" w:rsidP="00B92012">
      <w:pPr>
        <w:numPr>
          <w:ilvl w:val="0"/>
          <w:numId w:val="1"/>
        </w:numPr>
        <w:ind w:left="714" w:hanging="357"/>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Seminars;</w:t>
      </w:r>
    </w:p>
    <w:p w14:paraId="453FA000" w14:textId="77777777" w:rsidR="00B92012" w:rsidRPr="00B92012" w:rsidRDefault="00B92012" w:rsidP="00B92012">
      <w:pPr>
        <w:numPr>
          <w:ilvl w:val="0"/>
          <w:numId w:val="1"/>
        </w:numPr>
        <w:ind w:left="714" w:hanging="357"/>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Research/thesis credits;</w:t>
      </w:r>
    </w:p>
    <w:p w14:paraId="34E9FB30" w14:textId="77777777" w:rsidR="00B92012" w:rsidRPr="00B92012" w:rsidRDefault="00B92012" w:rsidP="00B92012">
      <w:pPr>
        <w:numPr>
          <w:ilvl w:val="0"/>
          <w:numId w:val="1"/>
        </w:numPr>
        <w:ind w:left="714" w:hanging="357"/>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Elective or deficiency courses where applicable;</w:t>
      </w:r>
    </w:p>
    <w:p w14:paraId="0F563C74" w14:textId="77777777" w:rsidR="00B92012" w:rsidRPr="00B92012" w:rsidRDefault="00B92012" w:rsidP="00B92012">
      <w:pPr>
        <w:numPr>
          <w:ilvl w:val="0"/>
          <w:numId w:val="1"/>
        </w:numPr>
        <w:ind w:left="714" w:hanging="357"/>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Internship/project components in specified programmes; and</w:t>
      </w:r>
    </w:p>
    <w:p w14:paraId="7A59E3B6" w14:textId="77777777" w:rsidR="00B92012" w:rsidRPr="00B92012" w:rsidRDefault="00B92012" w:rsidP="00B92012">
      <w:pPr>
        <w:numPr>
          <w:ilvl w:val="0"/>
          <w:numId w:val="1"/>
        </w:num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Comprehensive examination requirements.</w:t>
      </w:r>
    </w:p>
    <w:p w14:paraId="6581B872" w14:textId="5625DB5F"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The Regulations prescribe programme-specific minimum credit requirements for Master's, MBA, Agricultural Biotechnology and Ph.D. programmes. </w:t>
      </w:r>
    </w:p>
    <w:p w14:paraId="3C8DED04" w14:textId="77777777" w:rsidR="00B92012" w:rsidRPr="00B92012" w:rsidRDefault="00B92012" w:rsidP="00B92012">
      <w:pPr>
        <w:spacing w:after="120"/>
        <w:outlineLvl w:val="2"/>
        <w:rPr>
          <w:rFonts w:ascii="Century Schoolbook" w:eastAsia="Times New Roman" w:hAnsi="Century Schoolbook" w:cs="Times New Roman"/>
          <w:b/>
          <w:bCs/>
          <w:kern w:val="0"/>
          <w:szCs w:val="24"/>
          <w:lang w:eastAsia="en-GB"/>
          <w14:ligatures w14:val="none"/>
        </w:rPr>
      </w:pPr>
      <w:r w:rsidRPr="00B92012">
        <w:rPr>
          <w:rFonts w:ascii="Century Schoolbook" w:eastAsia="Times New Roman" w:hAnsi="Century Schoolbook" w:cs="Times New Roman"/>
          <w:b/>
          <w:bCs/>
          <w:kern w:val="0"/>
          <w:szCs w:val="24"/>
          <w:lang w:eastAsia="en-GB"/>
          <w14:ligatures w14:val="none"/>
        </w:rPr>
        <w:t>Class Attendance</w:t>
      </w:r>
    </w:p>
    <w:p w14:paraId="2BCA991B"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A student must maintain a minimum of </w:t>
      </w:r>
      <w:r w:rsidRPr="00B92012">
        <w:rPr>
          <w:rFonts w:ascii="Century Schoolbook" w:eastAsia="Times New Roman" w:hAnsi="Century Schoolbook" w:cs="Times New Roman"/>
          <w:b/>
          <w:bCs/>
          <w:kern w:val="0"/>
          <w:sz w:val="22"/>
          <w:szCs w:val="22"/>
          <w:lang w:eastAsia="en-GB"/>
          <w14:ligatures w14:val="none"/>
        </w:rPr>
        <w:t>75% attendance separately in theory and practical components of each course</w:t>
      </w:r>
      <w:r w:rsidRPr="00B92012">
        <w:rPr>
          <w:rFonts w:ascii="Century Schoolbook" w:eastAsia="Times New Roman" w:hAnsi="Century Schoolbook" w:cs="Times New Roman"/>
          <w:kern w:val="0"/>
          <w:sz w:val="22"/>
          <w:szCs w:val="22"/>
          <w:lang w:eastAsia="en-GB"/>
          <w14:ligatures w14:val="none"/>
        </w:rPr>
        <w:t xml:space="preserve">. Failure to meet the attendance requirement results in a </w:t>
      </w:r>
      <w:r w:rsidRPr="00B92012">
        <w:rPr>
          <w:rFonts w:ascii="Century Schoolbook" w:eastAsia="Times New Roman" w:hAnsi="Century Schoolbook" w:cs="Times New Roman"/>
          <w:b/>
          <w:bCs/>
          <w:kern w:val="0"/>
          <w:sz w:val="22"/>
          <w:szCs w:val="22"/>
          <w:lang w:eastAsia="en-GB"/>
          <w14:ligatures w14:val="none"/>
        </w:rPr>
        <w:t>'P' grade</w:t>
      </w:r>
      <w:r w:rsidRPr="00B92012">
        <w:rPr>
          <w:rFonts w:ascii="Century Schoolbook" w:eastAsia="Times New Roman" w:hAnsi="Century Schoolbook" w:cs="Times New Roman"/>
          <w:kern w:val="0"/>
          <w:sz w:val="22"/>
          <w:szCs w:val="22"/>
          <w:lang w:eastAsia="en-GB"/>
          <w14:ligatures w14:val="none"/>
        </w:rPr>
        <w:t>, and the student is not permitted to appear in the End-term/Semester Final Examination for that course. The student is required to repeat the course when it is subsequently offered.</w:t>
      </w:r>
    </w:p>
    <w:p w14:paraId="166074CE" w14:textId="055DAD72"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A student remaining absent for an entire semester or academic year without approval of the competent authority may have his/her studentship cancelled. </w:t>
      </w:r>
    </w:p>
    <w:p w14:paraId="0D6DCE11" w14:textId="77777777" w:rsidR="00B92012" w:rsidRPr="00B92012" w:rsidRDefault="00B92012" w:rsidP="00B92012">
      <w:pPr>
        <w:spacing w:after="120"/>
        <w:outlineLvl w:val="2"/>
        <w:rPr>
          <w:rFonts w:ascii="Century Schoolbook" w:eastAsia="Times New Roman" w:hAnsi="Century Schoolbook" w:cs="Times New Roman"/>
          <w:b/>
          <w:bCs/>
          <w:kern w:val="0"/>
          <w:szCs w:val="24"/>
          <w:lang w:eastAsia="en-GB"/>
          <w14:ligatures w14:val="none"/>
        </w:rPr>
      </w:pPr>
      <w:r w:rsidRPr="00B92012">
        <w:rPr>
          <w:rFonts w:ascii="Century Schoolbook" w:eastAsia="Times New Roman" w:hAnsi="Century Schoolbook" w:cs="Times New Roman"/>
          <w:b/>
          <w:bCs/>
          <w:kern w:val="0"/>
          <w:szCs w:val="24"/>
          <w:lang w:eastAsia="en-GB"/>
          <w14:ligatures w14:val="none"/>
        </w:rPr>
        <w:t>Examination and Evaluation</w:t>
      </w:r>
    </w:p>
    <w:p w14:paraId="488723BD"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Academic performance is evaluated through prescribed examinations and continuous assessment. Depending on the programme, these may include:</w:t>
      </w:r>
    </w:p>
    <w:p w14:paraId="0372E108" w14:textId="77777777" w:rsidR="00B92012" w:rsidRPr="00B92012" w:rsidRDefault="00B92012" w:rsidP="00B92012">
      <w:pPr>
        <w:numPr>
          <w:ilvl w:val="0"/>
          <w:numId w:val="2"/>
        </w:numPr>
        <w:ind w:left="714" w:hanging="357"/>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First Test;</w:t>
      </w:r>
    </w:p>
    <w:p w14:paraId="692F9B70" w14:textId="77777777" w:rsidR="00B92012" w:rsidRPr="00B92012" w:rsidRDefault="00B92012" w:rsidP="00B92012">
      <w:pPr>
        <w:numPr>
          <w:ilvl w:val="0"/>
          <w:numId w:val="2"/>
        </w:numPr>
        <w:ind w:left="714" w:hanging="357"/>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Mid-term Examination;</w:t>
      </w:r>
    </w:p>
    <w:p w14:paraId="626B05FB" w14:textId="77777777" w:rsidR="00B92012" w:rsidRPr="00B92012" w:rsidRDefault="00B92012" w:rsidP="00B92012">
      <w:pPr>
        <w:numPr>
          <w:ilvl w:val="0"/>
          <w:numId w:val="2"/>
        </w:numPr>
        <w:ind w:left="714" w:hanging="357"/>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End-term Examination;</w:t>
      </w:r>
    </w:p>
    <w:p w14:paraId="3ED15669" w14:textId="77777777" w:rsidR="00B92012" w:rsidRPr="00B92012" w:rsidRDefault="00B92012" w:rsidP="00B92012">
      <w:pPr>
        <w:numPr>
          <w:ilvl w:val="0"/>
          <w:numId w:val="2"/>
        </w:numPr>
        <w:ind w:left="714" w:hanging="357"/>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Semester Final Examination;</w:t>
      </w:r>
    </w:p>
    <w:p w14:paraId="7FECC704" w14:textId="77777777" w:rsidR="00B92012" w:rsidRPr="00B92012" w:rsidRDefault="00B92012" w:rsidP="00B92012">
      <w:pPr>
        <w:numPr>
          <w:ilvl w:val="0"/>
          <w:numId w:val="2"/>
        </w:numPr>
        <w:ind w:left="714" w:hanging="357"/>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lastRenderedPageBreak/>
        <w:t>Practical Examination;</w:t>
      </w:r>
    </w:p>
    <w:p w14:paraId="399BF298" w14:textId="77777777" w:rsidR="00B92012" w:rsidRPr="00B92012" w:rsidRDefault="00B92012" w:rsidP="00B92012">
      <w:pPr>
        <w:numPr>
          <w:ilvl w:val="0"/>
          <w:numId w:val="2"/>
        </w:numPr>
        <w:ind w:left="714" w:hanging="357"/>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Make-up Examination; and</w:t>
      </w:r>
    </w:p>
    <w:p w14:paraId="2EB67ABA" w14:textId="77777777" w:rsidR="00B92012" w:rsidRPr="00B92012" w:rsidRDefault="00B92012" w:rsidP="00B92012">
      <w:pPr>
        <w:numPr>
          <w:ilvl w:val="0"/>
          <w:numId w:val="2"/>
        </w:num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Repeat/Grade Improvement Examination.</w:t>
      </w:r>
    </w:p>
    <w:p w14:paraId="298EEC51"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The Regulations and Academic Guidelines prescribe detailed procedures for setting question papers, conducting examinations, evaluation, scrutiny of answer scripts and declaration of results.</w:t>
      </w:r>
    </w:p>
    <w:p w14:paraId="6B0CA27C" w14:textId="75D3B166"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Grades are awarded on a </w:t>
      </w:r>
      <w:r w:rsidRPr="00B92012">
        <w:rPr>
          <w:rFonts w:ascii="Century Schoolbook" w:eastAsia="Times New Roman" w:hAnsi="Century Schoolbook" w:cs="Times New Roman"/>
          <w:b/>
          <w:bCs/>
          <w:kern w:val="0"/>
          <w:sz w:val="22"/>
          <w:szCs w:val="22"/>
          <w:lang w:eastAsia="en-GB"/>
          <w14:ligatures w14:val="none"/>
        </w:rPr>
        <w:t>10-point scale</w:t>
      </w:r>
      <w:r w:rsidRPr="00B92012">
        <w:rPr>
          <w:rFonts w:ascii="Century Schoolbook" w:eastAsia="Times New Roman" w:hAnsi="Century Schoolbook" w:cs="Times New Roman"/>
          <w:kern w:val="0"/>
          <w:sz w:val="22"/>
          <w:szCs w:val="22"/>
          <w:lang w:eastAsia="en-GB"/>
          <w14:ligatures w14:val="none"/>
        </w:rPr>
        <w:t xml:space="preserve">. Semester performance is expressed through the </w:t>
      </w:r>
      <w:r w:rsidRPr="00B92012">
        <w:rPr>
          <w:rFonts w:ascii="Century Schoolbook" w:eastAsia="Times New Roman" w:hAnsi="Century Schoolbook" w:cs="Times New Roman"/>
          <w:b/>
          <w:bCs/>
          <w:kern w:val="0"/>
          <w:sz w:val="22"/>
          <w:szCs w:val="22"/>
          <w:lang w:eastAsia="en-GB"/>
          <w14:ligatures w14:val="none"/>
        </w:rPr>
        <w:t>Grade Point Average (GPA)</w:t>
      </w:r>
      <w:r w:rsidRPr="00B92012">
        <w:rPr>
          <w:rFonts w:ascii="Century Schoolbook" w:eastAsia="Times New Roman" w:hAnsi="Century Schoolbook" w:cs="Times New Roman"/>
          <w:kern w:val="0"/>
          <w:sz w:val="22"/>
          <w:szCs w:val="22"/>
          <w:lang w:eastAsia="en-GB"/>
          <w14:ligatures w14:val="none"/>
        </w:rPr>
        <w:t xml:space="preserve"> and overall academic achievement through the </w:t>
      </w:r>
      <w:r w:rsidRPr="00B92012">
        <w:rPr>
          <w:rFonts w:ascii="Century Schoolbook" w:eastAsia="Times New Roman" w:hAnsi="Century Schoolbook" w:cs="Times New Roman"/>
          <w:b/>
          <w:bCs/>
          <w:kern w:val="0"/>
          <w:sz w:val="22"/>
          <w:szCs w:val="22"/>
          <w:lang w:eastAsia="en-GB"/>
          <w14:ligatures w14:val="none"/>
        </w:rPr>
        <w:t>Cumulative Grade Point Average (CGPA)</w:t>
      </w:r>
      <w:r w:rsidRPr="00B92012">
        <w:rPr>
          <w:rFonts w:ascii="Century Schoolbook" w:eastAsia="Times New Roman" w:hAnsi="Century Schoolbook" w:cs="Times New Roman"/>
          <w:kern w:val="0"/>
          <w:sz w:val="22"/>
          <w:szCs w:val="22"/>
          <w:lang w:eastAsia="en-GB"/>
          <w14:ligatures w14:val="none"/>
        </w:rPr>
        <w:t xml:space="preserve">. </w:t>
      </w:r>
    </w:p>
    <w:p w14:paraId="5EC25EB0" w14:textId="77777777" w:rsidR="00B92012" w:rsidRPr="00B92012" w:rsidRDefault="00B92012" w:rsidP="00B92012">
      <w:pPr>
        <w:spacing w:after="120"/>
        <w:outlineLvl w:val="2"/>
        <w:rPr>
          <w:rFonts w:ascii="Century Schoolbook" w:eastAsia="Times New Roman" w:hAnsi="Century Schoolbook" w:cs="Times New Roman"/>
          <w:b/>
          <w:bCs/>
          <w:kern w:val="0"/>
          <w:szCs w:val="24"/>
          <w:lang w:eastAsia="en-GB"/>
          <w14:ligatures w14:val="none"/>
        </w:rPr>
      </w:pPr>
      <w:r w:rsidRPr="00B92012">
        <w:rPr>
          <w:rFonts w:ascii="Century Schoolbook" w:eastAsia="Times New Roman" w:hAnsi="Century Schoolbook" w:cs="Times New Roman"/>
          <w:b/>
          <w:bCs/>
          <w:kern w:val="0"/>
          <w:szCs w:val="24"/>
          <w:lang w:eastAsia="en-GB"/>
          <w14:ligatures w14:val="none"/>
        </w:rPr>
        <w:t>Academic Progress and Minimum CGPA</w:t>
      </w:r>
    </w:p>
    <w:p w14:paraId="61B778A7"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A student must secure a minimum </w:t>
      </w:r>
      <w:r w:rsidRPr="00B92012">
        <w:rPr>
          <w:rFonts w:ascii="Century Schoolbook" w:eastAsia="Times New Roman" w:hAnsi="Century Schoolbook" w:cs="Times New Roman"/>
          <w:b/>
          <w:bCs/>
          <w:kern w:val="0"/>
          <w:sz w:val="22"/>
          <w:szCs w:val="22"/>
          <w:lang w:eastAsia="en-GB"/>
          <w14:ligatures w14:val="none"/>
        </w:rPr>
        <w:t>CGPA of 6.50 out of 10.00</w:t>
      </w:r>
      <w:r w:rsidRPr="00B92012">
        <w:rPr>
          <w:rFonts w:ascii="Century Schoolbook" w:eastAsia="Times New Roman" w:hAnsi="Century Schoolbook" w:cs="Times New Roman"/>
          <w:kern w:val="0"/>
          <w:sz w:val="22"/>
          <w:szCs w:val="22"/>
          <w:lang w:eastAsia="en-GB"/>
          <w14:ligatures w14:val="none"/>
        </w:rPr>
        <w:t xml:space="preserve"> to qualify for a post-graduate degree. Any </w:t>
      </w:r>
      <w:r w:rsidRPr="00B92012">
        <w:rPr>
          <w:rFonts w:ascii="Century Schoolbook" w:eastAsia="Times New Roman" w:hAnsi="Century Schoolbook" w:cs="Times New Roman"/>
          <w:b/>
          <w:bCs/>
          <w:kern w:val="0"/>
          <w:sz w:val="22"/>
          <w:szCs w:val="22"/>
          <w:lang w:eastAsia="en-GB"/>
          <w14:ligatures w14:val="none"/>
        </w:rPr>
        <w:t>'F' or 'US' grade</w:t>
      </w:r>
      <w:r w:rsidRPr="00B92012">
        <w:rPr>
          <w:rFonts w:ascii="Century Schoolbook" w:eastAsia="Times New Roman" w:hAnsi="Century Schoolbook" w:cs="Times New Roman"/>
          <w:kern w:val="0"/>
          <w:sz w:val="22"/>
          <w:szCs w:val="22"/>
          <w:lang w:eastAsia="en-GB"/>
          <w14:ligatures w14:val="none"/>
        </w:rPr>
        <w:t xml:space="preserve"> must also be cleared before the degree can be awarded.</w:t>
      </w:r>
    </w:p>
    <w:p w14:paraId="569C7C07"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Students who do not maintain the prescribed academic standard may be placed on </w:t>
      </w:r>
      <w:r w:rsidRPr="00B92012">
        <w:rPr>
          <w:rFonts w:ascii="Century Schoolbook" w:eastAsia="Times New Roman" w:hAnsi="Century Schoolbook" w:cs="Times New Roman"/>
          <w:b/>
          <w:bCs/>
          <w:kern w:val="0"/>
          <w:sz w:val="22"/>
          <w:szCs w:val="22"/>
          <w:lang w:eastAsia="en-GB"/>
          <w14:ligatures w14:val="none"/>
        </w:rPr>
        <w:t>Academic Probation</w:t>
      </w:r>
      <w:r w:rsidRPr="00B92012">
        <w:rPr>
          <w:rFonts w:ascii="Century Schoolbook" w:eastAsia="Times New Roman" w:hAnsi="Century Schoolbook" w:cs="Times New Roman"/>
          <w:kern w:val="0"/>
          <w:sz w:val="22"/>
          <w:szCs w:val="22"/>
          <w:lang w:eastAsia="en-GB"/>
          <w14:ligatures w14:val="none"/>
        </w:rPr>
        <w:t xml:space="preserve"> and are provided opportunities for Repeat or Grade Improvement examinations in accordance with the Regulations.</w:t>
      </w:r>
    </w:p>
    <w:p w14:paraId="4C4EFED2"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For Master's programmes, a student may be awarded </w:t>
      </w:r>
      <w:r w:rsidRPr="00B92012">
        <w:rPr>
          <w:rFonts w:ascii="Century Schoolbook" w:eastAsia="Times New Roman" w:hAnsi="Century Schoolbook" w:cs="Times New Roman"/>
          <w:b/>
          <w:bCs/>
          <w:kern w:val="0"/>
          <w:sz w:val="22"/>
          <w:szCs w:val="22"/>
          <w:lang w:eastAsia="en-GB"/>
          <w14:ligatures w14:val="none"/>
        </w:rPr>
        <w:t>Distinction</w:t>
      </w:r>
      <w:r w:rsidRPr="00B92012">
        <w:rPr>
          <w:rFonts w:ascii="Century Schoolbook" w:eastAsia="Times New Roman" w:hAnsi="Century Schoolbook" w:cs="Times New Roman"/>
          <w:kern w:val="0"/>
          <w:sz w:val="22"/>
          <w:szCs w:val="22"/>
          <w:lang w:eastAsia="en-GB"/>
          <w14:ligatures w14:val="none"/>
        </w:rPr>
        <w:t xml:space="preserve"> on securing a </w:t>
      </w:r>
      <w:r w:rsidRPr="00B92012">
        <w:rPr>
          <w:rFonts w:ascii="Century Schoolbook" w:eastAsia="Times New Roman" w:hAnsi="Century Schoolbook" w:cs="Times New Roman"/>
          <w:b/>
          <w:bCs/>
          <w:kern w:val="0"/>
          <w:sz w:val="22"/>
          <w:szCs w:val="22"/>
          <w:lang w:eastAsia="en-GB"/>
          <w14:ligatures w14:val="none"/>
        </w:rPr>
        <w:t>CGPA of 8.50 or above</w:t>
      </w:r>
      <w:r w:rsidRPr="00B92012">
        <w:rPr>
          <w:rFonts w:ascii="Century Schoolbook" w:eastAsia="Times New Roman" w:hAnsi="Century Schoolbook" w:cs="Times New Roman"/>
          <w:kern w:val="0"/>
          <w:sz w:val="22"/>
          <w:szCs w:val="22"/>
          <w:lang w:eastAsia="en-GB"/>
          <w14:ligatures w14:val="none"/>
        </w:rPr>
        <w:t>, provided the student has not received an 'F'/'US' grade, has not been placed under academic or conduct probation, and completes the programme within the prescribed minimum duration.</w:t>
      </w:r>
    </w:p>
    <w:p w14:paraId="0D9295CF" w14:textId="77777777" w:rsidR="00B92012" w:rsidRPr="00B92012" w:rsidRDefault="00B92012" w:rsidP="00B92012">
      <w:pPr>
        <w:spacing w:after="120"/>
        <w:outlineLvl w:val="2"/>
        <w:rPr>
          <w:rFonts w:ascii="Century Schoolbook" w:eastAsia="Times New Roman" w:hAnsi="Century Schoolbook" w:cs="Times New Roman"/>
          <w:b/>
          <w:bCs/>
          <w:kern w:val="0"/>
          <w:szCs w:val="24"/>
          <w:lang w:eastAsia="en-GB"/>
          <w14:ligatures w14:val="none"/>
        </w:rPr>
      </w:pPr>
      <w:r w:rsidRPr="00B92012">
        <w:rPr>
          <w:rFonts w:ascii="Century Schoolbook" w:eastAsia="Times New Roman" w:hAnsi="Century Schoolbook" w:cs="Times New Roman"/>
          <w:b/>
          <w:bCs/>
          <w:kern w:val="0"/>
          <w:szCs w:val="24"/>
          <w:lang w:eastAsia="en-GB"/>
          <w14:ligatures w14:val="none"/>
        </w:rPr>
        <w:t>Comprehensive Oral Examination</w:t>
      </w:r>
    </w:p>
    <w:p w14:paraId="4B89DFAB"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All post-graduate students are required to successfully complete a </w:t>
      </w:r>
      <w:r w:rsidRPr="00B92012">
        <w:rPr>
          <w:rFonts w:ascii="Century Schoolbook" w:eastAsia="Times New Roman" w:hAnsi="Century Schoolbook" w:cs="Times New Roman"/>
          <w:b/>
          <w:bCs/>
          <w:kern w:val="0"/>
          <w:sz w:val="22"/>
          <w:szCs w:val="22"/>
          <w:lang w:eastAsia="en-GB"/>
          <w14:ligatures w14:val="none"/>
        </w:rPr>
        <w:t>Comprehensive Oral Examination</w:t>
      </w:r>
      <w:r w:rsidRPr="00B92012">
        <w:rPr>
          <w:rFonts w:ascii="Century Schoolbook" w:eastAsia="Times New Roman" w:hAnsi="Century Schoolbook" w:cs="Times New Roman"/>
          <w:kern w:val="0"/>
          <w:sz w:val="22"/>
          <w:szCs w:val="22"/>
          <w:lang w:eastAsia="en-GB"/>
          <w14:ligatures w14:val="none"/>
        </w:rPr>
        <w:t xml:space="preserve"> after completing 100% of the prescribed coursework.</w:t>
      </w:r>
    </w:p>
    <w:p w14:paraId="0356892D"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For Master's students, the examination is conducted internally by the Students' Advisory Committee. For Ph.D. students, a pre-comprehensive oral examination is conducted by the SAC followed by an oral comprehensive examination involving an external examiner. A satisfactory performance is awarded an </w:t>
      </w:r>
      <w:r w:rsidRPr="00B92012">
        <w:rPr>
          <w:rFonts w:ascii="Century Schoolbook" w:eastAsia="Times New Roman" w:hAnsi="Century Schoolbook" w:cs="Times New Roman"/>
          <w:b/>
          <w:bCs/>
          <w:kern w:val="0"/>
          <w:sz w:val="22"/>
          <w:szCs w:val="22"/>
          <w:lang w:eastAsia="en-GB"/>
          <w14:ligatures w14:val="none"/>
        </w:rPr>
        <w:t>'S' grade</w:t>
      </w:r>
      <w:r w:rsidRPr="00B92012">
        <w:rPr>
          <w:rFonts w:ascii="Century Schoolbook" w:eastAsia="Times New Roman" w:hAnsi="Century Schoolbook" w:cs="Times New Roman"/>
          <w:kern w:val="0"/>
          <w:sz w:val="22"/>
          <w:szCs w:val="22"/>
          <w:lang w:eastAsia="en-GB"/>
          <w14:ligatures w14:val="none"/>
        </w:rPr>
        <w:t xml:space="preserve">; an unsatisfactory performance is graded </w:t>
      </w:r>
      <w:r w:rsidRPr="00B92012">
        <w:rPr>
          <w:rFonts w:ascii="Century Schoolbook" w:eastAsia="Times New Roman" w:hAnsi="Century Schoolbook" w:cs="Times New Roman"/>
          <w:b/>
          <w:bCs/>
          <w:kern w:val="0"/>
          <w:sz w:val="22"/>
          <w:szCs w:val="22"/>
          <w:lang w:eastAsia="en-GB"/>
          <w14:ligatures w14:val="none"/>
        </w:rPr>
        <w:t>'US'</w:t>
      </w:r>
      <w:r w:rsidRPr="00B92012">
        <w:rPr>
          <w:rFonts w:ascii="Century Schoolbook" w:eastAsia="Times New Roman" w:hAnsi="Century Schoolbook" w:cs="Times New Roman"/>
          <w:kern w:val="0"/>
          <w:sz w:val="22"/>
          <w:szCs w:val="22"/>
          <w:lang w:eastAsia="en-GB"/>
          <w14:ligatures w14:val="none"/>
        </w:rPr>
        <w:t xml:space="preserve"> and requires re-examination within the prescribed period.</w:t>
      </w:r>
    </w:p>
    <w:p w14:paraId="29D945F6" w14:textId="77777777" w:rsidR="00B92012" w:rsidRPr="00B92012" w:rsidRDefault="00B92012" w:rsidP="00B92012">
      <w:pPr>
        <w:spacing w:after="120"/>
        <w:outlineLvl w:val="2"/>
        <w:rPr>
          <w:rFonts w:ascii="Century Schoolbook" w:eastAsia="Times New Roman" w:hAnsi="Century Schoolbook" w:cs="Times New Roman"/>
          <w:b/>
          <w:bCs/>
          <w:kern w:val="0"/>
          <w:szCs w:val="24"/>
          <w:lang w:eastAsia="en-GB"/>
          <w14:ligatures w14:val="none"/>
        </w:rPr>
      </w:pPr>
      <w:r w:rsidRPr="00B92012">
        <w:rPr>
          <w:rFonts w:ascii="Century Schoolbook" w:eastAsia="Times New Roman" w:hAnsi="Century Schoolbook" w:cs="Times New Roman"/>
          <w:b/>
          <w:bCs/>
          <w:kern w:val="0"/>
          <w:szCs w:val="24"/>
          <w:lang w:eastAsia="en-GB"/>
          <w14:ligatures w14:val="none"/>
        </w:rPr>
        <w:t>Research, Thesis and Project Work</w:t>
      </w:r>
    </w:p>
    <w:p w14:paraId="0F5DB434"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Research constitutes an integral component of the post-graduate programme. Students undertake research under the supervision of the Major Adviser and SAC and prepare a research synopsis for approval. The research findings are presented in the form of a </w:t>
      </w:r>
      <w:r w:rsidRPr="00B92012">
        <w:rPr>
          <w:rFonts w:ascii="Century Schoolbook" w:eastAsia="Times New Roman" w:hAnsi="Century Schoolbook" w:cs="Times New Roman"/>
          <w:b/>
          <w:bCs/>
          <w:kern w:val="0"/>
          <w:sz w:val="22"/>
          <w:szCs w:val="22"/>
          <w:lang w:eastAsia="en-GB"/>
          <w14:ligatures w14:val="none"/>
        </w:rPr>
        <w:t>thesis, dissertation or project report</w:t>
      </w:r>
      <w:r w:rsidRPr="00B92012">
        <w:rPr>
          <w:rFonts w:ascii="Century Schoolbook" w:eastAsia="Times New Roman" w:hAnsi="Century Schoolbook" w:cs="Times New Roman"/>
          <w:kern w:val="0"/>
          <w:sz w:val="22"/>
          <w:szCs w:val="22"/>
          <w:lang w:eastAsia="en-GB"/>
          <w14:ligatures w14:val="none"/>
        </w:rPr>
        <w:t>.</w:t>
      </w:r>
    </w:p>
    <w:p w14:paraId="18D6ED75" w14:textId="55497EBB"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Students are required to present thesis/project seminars and prepare the thesis in accordance with prescribed University guidelines. Master's students submit the prescribed thesis copies, while Ph.D. students have additional publication and documentation requirements. </w:t>
      </w:r>
    </w:p>
    <w:p w14:paraId="08606EAF"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The University follows its </w:t>
      </w:r>
      <w:r w:rsidRPr="00B92012">
        <w:rPr>
          <w:rFonts w:ascii="Century Schoolbook" w:eastAsia="Times New Roman" w:hAnsi="Century Schoolbook" w:cs="Times New Roman"/>
          <w:b/>
          <w:bCs/>
          <w:kern w:val="0"/>
          <w:sz w:val="22"/>
          <w:szCs w:val="22"/>
          <w:lang w:eastAsia="en-GB"/>
          <w14:ligatures w14:val="none"/>
        </w:rPr>
        <w:t>Academic Integrity and Prevention of Plagiarism Policy, 2021</w:t>
      </w:r>
      <w:r w:rsidRPr="00B92012">
        <w:rPr>
          <w:rFonts w:ascii="Century Schoolbook" w:eastAsia="Times New Roman" w:hAnsi="Century Schoolbook" w:cs="Times New Roman"/>
          <w:kern w:val="0"/>
          <w:sz w:val="22"/>
          <w:szCs w:val="22"/>
          <w:lang w:eastAsia="en-GB"/>
          <w14:ligatures w14:val="none"/>
        </w:rPr>
        <w:t>, aligned with applicable UGC regulations. Thesis/dissertation submissions undergo plagiarism checking before being forwarded for external evaluation.</w:t>
      </w:r>
    </w:p>
    <w:p w14:paraId="7682E67E" w14:textId="77777777" w:rsidR="00B92012" w:rsidRPr="00B92012" w:rsidRDefault="00B92012" w:rsidP="00B92012">
      <w:pPr>
        <w:spacing w:after="120"/>
        <w:outlineLvl w:val="2"/>
        <w:rPr>
          <w:rFonts w:ascii="Century Schoolbook" w:eastAsia="Times New Roman" w:hAnsi="Century Schoolbook" w:cs="Times New Roman"/>
          <w:b/>
          <w:bCs/>
          <w:kern w:val="0"/>
          <w:szCs w:val="24"/>
          <w:lang w:eastAsia="en-GB"/>
          <w14:ligatures w14:val="none"/>
        </w:rPr>
      </w:pPr>
      <w:r w:rsidRPr="00B92012">
        <w:rPr>
          <w:rFonts w:ascii="Century Schoolbook" w:eastAsia="Times New Roman" w:hAnsi="Century Schoolbook" w:cs="Times New Roman"/>
          <w:b/>
          <w:bCs/>
          <w:kern w:val="0"/>
          <w:szCs w:val="24"/>
          <w:lang w:eastAsia="en-GB"/>
          <w14:ligatures w14:val="none"/>
        </w:rPr>
        <w:t>IDEA Programme</w:t>
      </w:r>
    </w:p>
    <w:p w14:paraId="16D17573"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Provision exists for eligible Master's students to opt for </w:t>
      </w:r>
      <w:r w:rsidRPr="00B92012">
        <w:rPr>
          <w:rFonts w:ascii="Century Schoolbook" w:eastAsia="Times New Roman" w:hAnsi="Century Schoolbook" w:cs="Times New Roman"/>
          <w:b/>
          <w:bCs/>
          <w:kern w:val="0"/>
          <w:sz w:val="22"/>
          <w:szCs w:val="22"/>
          <w:lang w:eastAsia="en-GB"/>
          <w14:ligatures w14:val="none"/>
        </w:rPr>
        <w:t>IDEA – Internship for Development of Entrepreneurship in Agriculture</w:t>
      </w:r>
      <w:r w:rsidRPr="00B92012">
        <w:rPr>
          <w:rFonts w:ascii="Century Schoolbook" w:eastAsia="Times New Roman" w:hAnsi="Century Schoolbook" w:cs="Times New Roman"/>
          <w:kern w:val="0"/>
          <w:sz w:val="22"/>
          <w:szCs w:val="22"/>
          <w:lang w:eastAsia="en-GB"/>
          <w14:ligatures w14:val="none"/>
        </w:rPr>
        <w:t xml:space="preserve"> in lieu of thesis research, subject to prescribed limits, selection procedure and programme guidelines. Such students </w:t>
      </w:r>
      <w:r w:rsidRPr="00B92012">
        <w:rPr>
          <w:rFonts w:ascii="Century Schoolbook" w:eastAsia="Times New Roman" w:hAnsi="Century Schoolbook" w:cs="Times New Roman"/>
          <w:kern w:val="0"/>
          <w:sz w:val="22"/>
          <w:szCs w:val="22"/>
          <w:lang w:eastAsia="en-GB"/>
          <w14:ligatures w14:val="none"/>
        </w:rPr>
        <w:lastRenderedPageBreak/>
        <w:t>undertake approved internship/project activities and submit a project report in accordance with University requirements.</w:t>
      </w:r>
    </w:p>
    <w:p w14:paraId="7C93720C" w14:textId="77777777" w:rsidR="00B92012" w:rsidRPr="00B92012" w:rsidRDefault="00B92012" w:rsidP="00B92012">
      <w:pPr>
        <w:spacing w:after="120"/>
        <w:outlineLvl w:val="2"/>
        <w:rPr>
          <w:rFonts w:ascii="Century Schoolbook" w:eastAsia="Times New Roman" w:hAnsi="Century Schoolbook" w:cs="Times New Roman"/>
          <w:b/>
          <w:bCs/>
          <w:kern w:val="0"/>
          <w:szCs w:val="24"/>
          <w:lang w:eastAsia="en-GB"/>
          <w14:ligatures w14:val="none"/>
        </w:rPr>
      </w:pPr>
      <w:r w:rsidRPr="00B92012">
        <w:rPr>
          <w:rFonts w:ascii="Century Schoolbook" w:eastAsia="Times New Roman" w:hAnsi="Century Schoolbook" w:cs="Times New Roman"/>
          <w:b/>
          <w:bCs/>
          <w:kern w:val="0"/>
          <w:szCs w:val="24"/>
          <w:lang w:eastAsia="en-GB"/>
          <w14:ligatures w14:val="none"/>
        </w:rPr>
        <w:t>Academic Progress Reporting</w:t>
      </w:r>
    </w:p>
    <w:p w14:paraId="3F8B3C2F"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Every post-graduate student is required to submit a </w:t>
      </w:r>
      <w:r w:rsidRPr="00B92012">
        <w:rPr>
          <w:rFonts w:ascii="Century Schoolbook" w:eastAsia="Times New Roman" w:hAnsi="Century Schoolbook" w:cs="Times New Roman"/>
          <w:b/>
          <w:bCs/>
          <w:kern w:val="0"/>
          <w:sz w:val="22"/>
          <w:szCs w:val="22"/>
          <w:lang w:eastAsia="en-GB"/>
          <w14:ligatures w14:val="none"/>
        </w:rPr>
        <w:t>Progress Report at the end of each semester</w:t>
      </w:r>
      <w:r w:rsidRPr="00B92012">
        <w:rPr>
          <w:rFonts w:ascii="Century Schoolbook" w:eastAsia="Times New Roman" w:hAnsi="Century Schoolbook" w:cs="Times New Roman"/>
          <w:kern w:val="0"/>
          <w:sz w:val="22"/>
          <w:szCs w:val="22"/>
          <w:lang w:eastAsia="en-GB"/>
          <w14:ligatures w14:val="none"/>
        </w:rPr>
        <w:t xml:space="preserve"> through the Major Adviser and Head of Department to the Director of Post-Graduate Studies. The report covers progress in coursework, research and other academic requirements.</w:t>
      </w:r>
    </w:p>
    <w:p w14:paraId="5B909A6F" w14:textId="77777777" w:rsidR="00B92012" w:rsidRPr="00B92012" w:rsidRDefault="00B92012" w:rsidP="00B92012">
      <w:pPr>
        <w:spacing w:after="120"/>
        <w:outlineLvl w:val="2"/>
        <w:rPr>
          <w:rFonts w:ascii="Century Schoolbook" w:eastAsia="Times New Roman" w:hAnsi="Century Schoolbook" w:cs="Times New Roman"/>
          <w:b/>
          <w:bCs/>
          <w:kern w:val="0"/>
          <w:szCs w:val="24"/>
          <w:lang w:eastAsia="en-GB"/>
          <w14:ligatures w14:val="none"/>
        </w:rPr>
      </w:pPr>
      <w:r w:rsidRPr="00B92012">
        <w:rPr>
          <w:rFonts w:ascii="Century Schoolbook" w:eastAsia="Times New Roman" w:hAnsi="Century Schoolbook" w:cs="Times New Roman"/>
          <w:b/>
          <w:bCs/>
          <w:kern w:val="0"/>
          <w:szCs w:val="24"/>
          <w:lang w:eastAsia="en-GB"/>
          <w14:ligatures w14:val="none"/>
        </w:rPr>
        <w:t>Student Discipline</w:t>
      </w:r>
    </w:p>
    <w:p w14:paraId="5581797A"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The Regulations prescribe standards of student conduct within classrooms, departments, laboratories, farms, hostels, examination halls and the University campus. They also provide procedures for dealing with indiscipline, misconduct and unfair means in examinations.</w:t>
      </w:r>
    </w:p>
    <w:p w14:paraId="631E1F66"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Disciplinary measures may include warning, fine, conduct probation, rustication or expulsion depending upon the nature and seriousness of the offence. Use of </w:t>
      </w:r>
      <w:r w:rsidRPr="00B92012">
        <w:rPr>
          <w:rFonts w:ascii="Century Schoolbook" w:eastAsia="Times New Roman" w:hAnsi="Century Schoolbook" w:cs="Times New Roman"/>
          <w:b/>
          <w:bCs/>
          <w:kern w:val="0"/>
          <w:sz w:val="22"/>
          <w:szCs w:val="22"/>
          <w:lang w:eastAsia="en-GB"/>
          <w14:ligatures w14:val="none"/>
        </w:rPr>
        <w:t>mobile phones and other electronic devices in classrooms and examination halls is prohibited</w:t>
      </w:r>
      <w:r w:rsidRPr="00B92012">
        <w:rPr>
          <w:rFonts w:ascii="Century Schoolbook" w:eastAsia="Times New Roman" w:hAnsi="Century Schoolbook" w:cs="Times New Roman"/>
          <w:kern w:val="0"/>
          <w:sz w:val="22"/>
          <w:szCs w:val="22"/>
          <w:lang w:eastAsia="en-GB"/>
          <w14:ligatures w14:val="none"/>
        </w:rPr>
        <w:t>.</w:t>
      </w:r>
    </w:p>
    <w:p w14:paraId="15A78358" w14:textId="77777777" w:rsidR="00B92012" w:rsidRPr="00B92012" w:rsidRDefault="00B92012" w:rsidP="00B92012">
      <w:pPr>
        <w:spacing w:after="120"/>
        <w:outlineLvl w:val="2"/>
        <w:rPr>
          <w:rFonts w:ascii="Century Schoolbook" w:eastAsia="Times New Roman" w:hAnsi="Century Schoolbook" w:cs="Times New Roman"/>
          <w:b/>
          <w:bCs/>
          <w:kern w:val="0"/>
          <w:szCs w:val="24"/>
          <w:lang w:eastAsia="en-GB"/>
          <w14:ligatures w14:val="none"/>
        </w:rPr>
      </w:pPr>
      <w:r w:rsidRPr="00B92012">
        <w:rPr>
          <w:rFonts w:ascii="Century Schoolbook" w:eastAsia="Times New Roman" w:hAnsi="Century Schoolbook" w:cs="Times New Roman"/>
          <w:b/>
          <w:bCs/>
          <w:kern w:val="0"/>
          <w:szCs w:val="24"/>
          <w:lang w:eastAsia="en-GB"/>
          <w14:ligatures w14:val="none"/>
        </w:rPr>
        <w:t>Scholarships and Fellowships</w:t>
      </w:r>
    </w:p>
    <w:p w14:paraId="5666810A"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Eligible students may receive </w:t>
      </w:r>
      <w:r w:rsidRPr="00B92012">
        <w:rPr>
          <w:rFonts w:ascii="Century Schoolbook" w:eastAsia="Times New Roman" w:hAnsi="Century Schoolbook" w:cs="Times New Roman"/>
          <w:b/>
          <w:bCs/>
          <w:kern w:val="0"/>
          <w:sz w:val="22"/>
          <w:szCs w:val="22"/>
          <w:lang w:eastAsia="en-GB"/>
          <w14:ligatures w14:val="none"/>
        </w:rPr>
        <w:t>State Merit Scholarships, ICAR Fellowships and other financial assistance</w:t>
      </w:r>
      <w:r w:rsidRPr="00B92012">
        <w:rPr>
          <w:rFonts w:ascii="Century Schoolbook" w:eastAsia="Times New Roman" w:hAnsi="Century Schoolbook" w:cs="Times New Roman"/>
          <w:kern w:val="0"/>
          <w:sz w:val="22"/>
          <w:szCs w:val="22"/>
          <w:lang w:eastAsia="en-GB"/>
          <w14:ligatures w14:val="none"/>
        </w:rPr>
        <w:t xml:space="preserve"> according to prescribed regulations.</w:t>
      </w:r>
    </w:p>
    <w:p w14:paraId="35712DB5"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For the State Merit Scholarship, the minimum academic performance prescribed 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63"/>
        <w:gridCol w:w="5453"/>
      </w:tblGrid>
      <w:tr w:rsidR="00B92012" w:rsidRPr="00B92012" w14:paraId="63CC2C3D" w14:textId="77777777" w:rsidTr="00B92012">
        <w:trPr>
          <w:tblHeader/>
        </w:trPr>
        <w:tc>
          <w:tcPr>
            <w:tcW w:w="1956" w:type="pct"/>
            <w:vAlign w:val="center"/>
            <w:hideMark/>
          </w:tcPr>
          <w:p w14:paraId="51F340C2" w14:textId="77777777" w:rsidR="00B92012" w:rsidRPr="00B92012" w:rsidRDefault="00B92012" w:rsidP="00B92012">
            <w:pPr>
              <w:rPr>
                <w:rFonts w:ascii="Century Schoolbook" w:eastAsia="Times New Roman" w:hAnsi="Century Schoolbook" w:cs="Times New Roman"/>
                <w:b/>
                <w:bCs/>
                <w:kern w:val="0"/>
                <w:sz w:val="22"/>
                <w:szCs w:val="22"/>
                <w:lang w:eastAsia="en-GB"/>
                <w14:ligatures w14:val="none"/>
              </w:rPr>
            </w:pPr>
            <w:r w:rsidRPr="00B92012">
              <w:rPr>
                <w:rFonts w:ascii="Century Schoolbook" w:eastAsia="Times New Roman" w:hAnsi="Century Schoolbook" w:cs="Times New Roman"/>
                <w:b/>
                <w:bCs/>
                <w:kern w:val="0"/>
                <w:sz w:val="22"/>
                <w:szCs w:val="22"/>
                <w:lang w:eastAsia="en-GB"/>
                <w14:ligatures w14:val="none"/>
              </w:rPr>
              <w:t>Programme</w:t>
            </w:r>
          </w:p>
        </w:tc>
        <w:tc>
          <w:tcPr>
            <w:tcW w:w="2994" w:type="pct"/>
            <w:vAlign w:val="center"/>
            <w:hideMark/>
          </w:tcPr>
          <w:p w14:paraId="7C0841AB" w14:textId="77777777" w:rsidR="00B92012" w:rsidRPr="00B92012" w:rsidRDefault="00B92012" w:rsidP="00B92012">
            <w:pPr>
              <w:rPr>
                <w:rFonts w:ascii="Century Schoolbook" w:eastAsia="Times New Roman" w:hAnsi="Century Schoolbook" w:cs="Times New Roman"/>
                <w:b/>
                <w:bCs/>
                <w:kern w:val="0"/>
                <w:sz w:val="22"/>
                <w:szCs w:val="22"/>
                <w:lang w:eastAsia="en-GB"/>
                <w14:ligatures w14:val="none"/>
              </w:rPr>
            </w:pPr>
            <w:r w:rsidRPr="00B92012">
              <w:rPr>
                <w:rFonts w:ascii="Century Schoolbook" w:eastAsia="Times New Roman" w:hAnsi="Century Schoolbook" w:cs="Times New Roman"/>
                <w:b/>
                <w:bCs/>
                <w:kern w:val="0"/>
                <w:sz w:val="22"/>
                <w:szCs w:val="22"/>
                <w:lang w:eastAsia="en-GB"/>
                <w14:ligatures w14:val="none"/>
              </w:rPr>
              <w:t>Minimum Academic Requirement</w:t>
            </w:r>
          </w:p>
        </w:tc>
      </w:tr>
      <w:tr w:rsidR="00B92012" w:rsidRPr="00B92012" w14:paraId="46CB41E2" w14:textId="77777777" w:rsidTr="00B92012">
        <w:tc>
          <w:tcPr>
            <w:tcW w:w="1956" w:type="pct"/>
            <w:vAlign w:val="center"/>
            <w:hideMark/>
          </w:tcPr>
          <w:p w14:paraId="2ACA0863" w14:textId="77777777" w:rsidR="00B92012" w:rsidRPr="00B92012" w:rsidRDefault="00B92012" w:rsidP="00B92012">
            <w:pPr>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Master's Degree</w:t>
            </w:r>
          </w:p>
        </w:tc>
        <w:tc>
          <w:tcPr>
            <w:tcW w:w="2994" w:type="pct"/>
            <w:vAlign w:val="center"/>
            <w:hideMark/>
          </w:tcPr>
          <w:p w14:paraId="23B08AD8" w14:textId="77777777" w:rsidR="00B92012" w:rsidRPr="00B92012" w:rsidRDefault="00B92012" w:rsidP="00B92012">
            <w:pPr>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GPA </w:t>
            </w:r>
            <w:r w:rsidRPr="00B92012">
              <w:rPr>
                <w:rFonts w:ascii="Century Schoolbook" w:eastAsia="Times New Roman" w:hAnsi="Century Schoolbook" w:cs="Times New Roman"/>
                <w:b/>
                <w:bCs/>
                <w:kern w:val="0"/>
                <w:sz w:val="22"/>
                <w:szCs w:val="22"/>
                <w:lang w:eastAsia="en-GB"/>
                <w14:ligatures w14:val="none"/>
              </w:rPr>
              <w:t>7.50 or above</w:t>
            </w:r>
          </w:p>
        </w:tc>
      </w:tr>
      <w:tr w:rsidR="00B92012" w:rsidRPr="00B92012" w14:paraId="06A2951F" w14:textId="77777777" w:rsidTr="00B92012">
        <w:tc>
          <w:tcPr>
            <w:tcW w:w="1956" w:type="pct"/>
            <w:vAlign w:val="center"/>
            <w:hideMark/>
          </w:tcPr>
          <w:p w14:paraId="7EAB4487" w14:textId="77777777" w:rsidR="00B92012" w:rsidRPr="00B92012" w:rsidRDefault="00B92012" w:rsidP="00B92012">
            <w:pPr>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Ph.D. – semesters involving coursework</w:t>
            </w:r>
          </w:p>
        </w:tc>
        <w:tc>
          <w:tcPr>
            <w:tcW w:w="2994" w:type="pct"/>
            <w:vAlign w:val="center"/>
            <w:hideMark/>
          </w:tcPr>
          <w:p w14:paraId="0B70EF8C" w14:textId="77777777" w:rsidR="00B92012" w:rsidRPr="00B92012" w:rsidRDefault="00B92012" w:rsidP="00B92012">
            <w:pPr>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GPA </w:t>
            </w:r>
            <w:r w:rsidRPr="00B92012">
              <w:rPr>
                <w:rFonts w:ascii="Century Schoolbook" w:eastAsia="Times New Roman" w:hAnsi="Century Schoolbook" w:cs="Times New Roman"/>
                <w:b/>
                <w:bCs/>
                <w:kern w:val="0"/>
                <w:sz w:val="22"/>
                <w:szCs w:val="22"/>
                <w:lang w:eastAsia="en-GB"/>
                <w14:ligatures w14:val="none"/>
              </w:rPr>
              <w:t>8.00 or above</w:t>
            </w:r>
          </w:p>
        </w:tc>
      </w:tr>
      <w:tr w:rsidR="00B92012" w:rsidRPr="00B92012" w14:paraId="74F9A7CF" w14:textId="77777777" w:rsidTr="00B92012">
        <w:tc>
          <w:tcPr>
            <w:tcW w:w="1956" w:type="pct"/>
            <w:vAlign w:val="center"/>
            <w:hideMark/>
          </w:tcPr>
          <w:p w14:paraId="263F6FC6" w14:textId="77777777" w:rsidR="00B92012" w:rsidRPr="00B92012" w:rsidRDefault="00B92012" w:rsidP="00B92012">
            <w:pPr>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Ph.D. – after completion of coursework</w:t>
            </w:r>
          </w:p>
        </w:tc>
        <w:tc>
          <w:tcPr>
            <w:tcW w:w="2994" w:type="pct"/>
            <w:vAlign w:val="center"/>
            <w:hideMark/>
          </w:tcPr>
          <w:p w14:paraId="6AAFCA88" w14:textId="77777777" w:rsidR="00B92012" w:rsidRPr="00B92012" w:rsidRDefault="00B92012" w:rsidP="00B92012">
            <w:pPr>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CGPA </w:t>
            </w:r>
            <w:r w:rsidRPr="00B92012">
              <w:rPr>
                <w:rFonts w:ascii="Century Schoolbook" w:eastAsia="Times New Roman" w:hAnsi="Century Schoolbook" w:cs="Times New Roman"/>
                <w:b/>
                <w:bCs/>
                <w:kern w:val="0"/>
                <w:sz w:val="22"/>
                <w:szCs w:val="22"/>
                <w:lang w:eastAsia="en-GB"/>
                <w14:ligatures w14:val="none"/>
              </w:rPr>
              <w:t>8.00 or above</w:t>
            </w:r>
            <w:r w:rsidRPr="00B92012">
              <w:rPr>
                <w:rFonts w:ascii="Century Schoolbook" w:eastAsia="Times New Roman" w:hAnsi="Century Schoolbook" w:cs="Times New Roman"/>
                <w:kern w:val="0"/>
                <w:sz w:val="22"/>
                <w:szCs w:val="22"/>
                <w:lang w:eastAsia="en-GB"/>
                <w14:ligatures w14:val="none"/>
              </w:rPr>
              <w:t xml:space="preserve"> along with satisfactory research progress</w:t>
            </w:r>
          </w:p>
        </w:tc>
      </w:tr>
    </w:tbl>
    <w:p w14:paraId="59DDF35B"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p>
    <w:p w14:paraId="28A79953" w14:textId="36CFB84B"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Scholarship continuation depends upon satisfactory academic progress and conduct. Students placed on academic or conduct probation are not eligible for merit scholarship during the relevant period.</w:t>
      </w:r>
    </w:p>
    <w:p w14:paraId="40B1D8FF" w14:textId="77777777" w:rsidR="00B92012" w:rsidRPr="00B92012" w:rsidRDefault="00B92012" w:rsidP="00B92012">
      <w:pPr>
        <w:spacing w:after="120"/>
        <w:outlineLvl w:val="2"/>
        <w:rPr>
          <w:rFonts w:ascii="Century Schoolbook" w:eastAsia="Times New Roman" w:hAnsi="Century Schoolbook" w:cs="Times New Roman"/>
          <w:b/>
          <w:bCs/>
          <w:kern w:val="0"/>
          <w:szCs w:val="24"/>
          <w:lang w:eastAsia="en-GB"/>
          <w14:ligatures w14:val="none"/>
        </w:rPr>
      </w:pPr>
      <w:r w:rsidRPr="00B92012">
        <w:rPr>
          <w:rFonts w:ascii="Century Schoolbook" w:eastAsia="Times New Roman" w:hAnsi="Century Schoolbook" w:cs="Times New Roman"/>
          <w:b/>
          <w:bCs/>
          <w:kern w:val="0"/>
          <w:szCs w:val="24"/>
          <w:lang w:eastAsia="en-GB"/>
          <w14:ligatures w14:val="none"/>
        </w:rPr>
        <w:t>Academic Guidelines</w:t>
      </w:r>
    </w:p>
    <w:p w14:paraId="01DE924C" w14:textId="77777777" w:rsidR="00B92012" w:rsidRPr="00B92012" w:rsidRDefault="00B92012" w:rsidP="00B92012">
      <w:pP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The Regulations are supplemented by detailed </w:t>
      </w:r>
      <w:r w:rsidRPr="00B92012">
        <w:rPr>
          <w:rFonts w:ascii="Century Schoolbook" w:eastAsia="Times New Roman" w:hAnsi="Century Schoolbook" w:cs="Times New Roman"/>
          <w:b/>
          <w:bCs/>
          <w:kern w:val="0"/>
          <w:sz w:val="22"/>
          <w:szCs w:val="22"/>
          <w:lang w:eastAsia="en-GB"/>
          <w14:ligatures w14:val="none"/>
        </w:rPr>
        <w:t>Academic Guidelines</w:t>
      </w:r>
      <w:r w:rsidRPr="00B92012">
        <w:rPr>
          <w:rFonts w:ascii="Century Schoolbook" w:eastAsia="Times New Roman" w:hAnsi="Century Schoolbook" w:cs="Times New Roman"/>
          <w:kern w:val="0"/>
          <w:sz w:val="22"/>
          <w:szCs w:val="22"/>
          <w:lang w:eastAsia="en-GB"/>
          <w14:ligatures w14:val="none"/>
        </w:rPr>
        <w:t xml:space="preserve"> covering important procedures such as admission screening and selection, conduct of examinations, question-paper setting, evaluation and scrutiny, comprehensive oral examinations, selection of research topics, thesis writing and evaluation, non-acceptance of thesis, IDEA internship, merit scholarships and support for international students. These guidelines form an integral operational component of the academic regulatory framework.</w:t>
      </w:r>
    </w:p>
    <w:p w14:paraId="275032FE" w14:textId="77777777" w:rsidR="00B92012" w:rsidRPr="00B92012" w:rsidRDefault="00B92012" w:rsidP="00B92012">
      <w:pPr>
        <w:spacing w:after="120"/>
        <w:outlineLvl w:val="2"/>
        <w:rPr>
          <w:rFonts w:ascii="Century Schoolbook" w:eastAsia="Times New Roman" w:hAnsi="Century Schoolbook" w:cs="Times New Roman"/>
          <w:b/>
          <w:bCs/>
          <w:kern w:val="0"/>
          <w:sz w:val="22"/>
          <w:szCs w:val="22"/>
          <w:lang w:eastAsia="en-GB"/>
          <w14:ligatures w14:val="none"/>
        </w:rPr>
      </w:pPr>
    </w:p>
    <w:p w14:paraId="529F110D" w14:textId="5DCD4801" w:rsidR="00B92012" w:rsidRPr="00B92012" w:rsidRDefault="00B92012" w:rsidP="00B92012">
      <w:pPr>
        <w:pBdr>
          <w:top w:val="single" w:sz="4" w:space="1" w:color="auto"/>
          <w:left w:val="single" w:sz="4" w:space="4" w:color="auto"/>
          <w:bottom w:val="single" w:sz="4" w:space="1" w:color="auto"/>
          <w:right w:val="single" w:sz="4" w:space="4" w:color="auto"/>
        </w:pBdr>
        <w:spacing w:after="120"/>
        <w:outlineLvl w:val="2"/>
        <w:rPr>
          <w:rFonts w:ascii="Century Schoolbook" w:eastAsia="Times New Roman" w:hAnsi="Century Schoolbook" w:cs="Times New Roman"/>
          <w:b/>
          <w:bCs/>
          <w:kern w:val="0"/>
          <w:sz w:val="22"/>
          <w:szCs w:val="22"/>
          <w:lang w:eastAsia="en-GB"/>
          <w14:ligatures w14:val="none"/>
        </w:rPr>
      </w:pPr>
      <w:r w:rsidRPr="00B92012">
        <w:rPr>
          <w:rFonts w:ascii="Century Schoolbook" w:eastAsia="Times New Roman" w:hAnsi="Century Schoolbook" w:cs="Times New Roman"/>
          <w:b/>
          <w:bCs/>
          <w:kern w:val="0"/>
          <w:sz w:val="22"/>
          <w:szCs w:val="22"/>
          <w:lang w:eastAsia="en-GB"/>
          <w14:ligatures w14:val="none"/>
        </w:rPr>
        <w:t>Important Note</w:t>
      </w:r>
    </w:p>
    <w:p w14:paraId="3B5DF658" w14:textId="77777777" w:rsidR="00B92012" w:rsidRPr="00B92012" w:rsidRDefault="00B92012" w:rsidP="00B92012">
      <w:pPr>
        <w:pBdr>
          <w:top w:val="single" w:sz="4" w:space="1" w:color="auto"/>
          <w:left w:val="single" w:sz="4" w:space="4" w:color="auto"/>
          <w:bottom w:val="single" w:sz="4" w:space="1" w:color="auto"/>
          <w:right w:val="single" w:sz="4" w:space="4" w:color="auto"/>
        </w:pBdr>
        <w:spacing w:after="120"/>
        <w:rPr>
          <w:rFonts w:ascii="Century Schoolbook" w:eastAsia="Times New Roman" w:hAnsi="Century Schoolbook" w:cs="Times New Roman"/>
          <w:kern w:val="0"/>
          <w:sz w:val="22"/>
          <w:szCs w:val="22"/>
          <w:lang w:eastAsia="en-GB"/>
          <w14:ligatures w14:val="none"/>
        </w:rPr>
      </w:pPr>
      <w:r w:rsidRPr="00B92012">
        <w:rPr>
          <w:rFonts w:ascii="Century Schoolbook" w:eastAsia="Times New Roman" w:hAnsi="Century Schoolbook" w:cs="Times New Roman"/>
          <w:kern w:val="0"/>
          <w:sz w:val="22"/>
          <w:szCs w:val="22"/>
          <w:lang w:eastAsia="en-GB"/>
          <w14:ligatures w14:val="none"/>
        </w:rPr>
        <w:t xml:space="preserve">This webpage content provides a concise overview of the </w:t>
      </w:r>
      <w:r w:rsidRPr="00B92012">
        <w:rPr>
          <w:rFonts w:ascii="Century Schoolbook" w:eastAsia="Times New Roman" w:hAnsi="Century Schoolbook" w:cs="Times New Roman"/>
          <w:b/>
          <w:bCs/>
          <w:kern w:val="0"/>
          <w:sz w:val="22"/>
          <w:szCs w:val="22"/>
          <w:lang w:eastAsia="en-GB"/>
          <w14:ligatures w14:val="none"/>
        </w:rPr>
        <w:t>Regulations on Academic Matters of Assam Agricultural University, 2022 (Amended) for Post-Graduate Degree Programmes and the associated Academic Guidelines</w:t>
      </w:r>
      <w:r w:rsidRPr="00B92012">
        <w:rPr>
          <w:rFonts w:ascii="Century Schoolbook" w:eastAsia="Times New Roman" w:hAnsi="Century Schoolbook" w:cs="Times New Roman"/>
          <w:kern w:val="0"/>
          <w:sz w:val="22"/>
          <w:szCs w:val="22"/>
          <w:lang w:eastAsia="en-GB"/>
          <w14:ligatures w14:val="none"/>
        </w:rPr>
        <w:t xml:space="preserve">. Students, faculty members and other stakeholders should consult the complete Regulations, current </w:t>
      </w:r>
      <w:r w:rsidRPr="00B92012">
        <w:rPr>
          <w:rFonts w:ascii="Century Schoolbook" w:eastAsia="Times New Roman" w:hAnsi="Century Schoolbook" w:cs="Times New Roman"/>
          <w:kern w:val="0"/>
          <w:sz w:val="22"/>
          <w:szCs w:val="22"/>
          <w:lang w:eastAsia="en-GB"/>
          <w14:ligatures w14:val="none"/>
        </w:rPr>
        <w:lastRenderedPageBreak/>
        <w:t>Information Bulletin, Academic Calendar and subsequent notifications for detailed programme-specific provisions, procedures and amendments. In the event of any difference in interpretation, the officially notified Regulations and decisions of the competent University authorities shall prevail.</w:t>
      </w:r>
    </w:p>
    <w:p w14:paraId="3A8598C7" w14:textId="77777777" w:rsidR="00A35D37" w:rsidRPr="00B92012" w:rsidRDefault="00A35D37" w:rsidP="00B92012">
      <w:pPr>
        <w:spacing w:after="120"/>
        <w:rPr>
          <w:rFonts w:ascii="Century Schoolbook" w:hAnsi="Century Schoolbook"/>
          <w:sz w:val="22"/>
          <w:szCs w:val="22"/>
        </w:rPr>
      </w:pPr>
    </w:p>
    <w:p w14:paraId="56AF09B4" w14:textId="77777777" w:rsidR="00B92012" w:rsidRPr="00B92012" w:rsidRDefault="00B92012">
      <w:pPr>
        <w:spacing w:after="120"/>
        <w:rPr>
          <w:rFonts w:ascii="Century Schoolbook" w:hAnsi="Century Schoolbook"/>
          <w:sz w:val="22"/>
          <w:szCs w:val="22"/>
        </w:rPr>
      </w:pPr>
    </w:p>
    <w:sectPr w:rsidR="00B92012" w:rsidRPr="00B920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Vrinda">
    <w:panose1 w:val="020B0502040204020203"/>
    <w:charset w:val="00"/>
    <w:family w:val="swiss"/>
    <w:pitch w:val="variable"/>
    <w:sig w:usb0="0001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762C38"/>
    <w:multiLevelType w:val="multilevel"/>
    <w:tmpl w:val="1EEEE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2321B3"/>
    <w:multiLevelType w:val="multilevel"/>
    <w:tmpl w:val="17C8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3825925">
    <w:abstractNumId w:val="1"/>
  </w:num>
  <w:num w:numId="2" w16cid:durableId="1730822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012"/>
    <w:rsid w:val="00000B6D"/>
    <w:rsid w:val="00014F40"/>
    <w:rsid w:val="000358A4"/>
    <w:rsid w:val="0006047C"/>
    <w:rsid w:val="00073320"/>
    <w:rsid w:val="000746FD"/>
    <w:rsid w:val="000813C4"/>
    <w:rsid w:val="00090560"/>
    <w:rsid w:val="00091AC8"/>
    <w:rsid w:val="000A4E14"/>
    <w:rsid w:val="000B01C3"/>
    <w:rsid w:val="000C0DF1"/>
    <w:rsid w:val="000E7C76"/>
    <w:rsid w:val="000F672D"/>
    <w:rsid w:val="00113CDE"/>
    <w:rsid w:val="00123D52"/>
    <w:rsid w:val="001347AA"/>
    <w:rsid w:val="00136C16"/>
    <w:rsid w:val="00143212"/>
    <w:rsid w:val="001548D9"/>
    <w:rsid w:val="0018623B"/>
    <w:rsid w:val="001A7FA7"/>
    <w:rsid w:val="001B6AD0"/>
    <w:rsid w:val="001C3521"/>
    <w:rsid w:val="001F5BB9"/>
    <w:rsid w:val="002014A1"/>
    <w:rsid w:val="00220E64"/>
    <w:rsid w:val="00240EBB"/>
    <w:rsid w:val="00242886"/>
    <w:rsid w:val="00290A67"/>
    <w:rsid w:val="002D3D65"/>
    <w:rsid w:val="002F0B1E"/>
    <w:rsid w:val="002F12C9"/>
    <w:rsid w:val="00301E00"/>
    <w:rsid w:val="00311F44"/>
    <w:rsid w:val="00317796"/>
    <w:rsid w:val="003519C7"/>
    <w:rsid w:val="00356A40"/>
    <w:rsid w:val="00357936"/>
    <w:rsid w:val="0036430D"/>
    <w:rsid w:val="00370654"/>
    <w:rsid w:val="003C08E4"/>
    <w:rsid w:val="003C59F8"/>
    <w:rsid w:val="003E10B0"/>
    <w:rsid w:val="003E111B"/>
    <w:rsid w:val="003E553C"/>
    <w:rsid w:val="00415BD6"/>
    <w:rsid w:val="0042469C"/>
    <w:rsid w:val="00426C91"/>
    <w:rsid w:val="00440532"/>
    <w:rsid w:val="00443FB9"/>
    <w:rsid w:val="004503BB"/>
    <w:rsid w:val="00471FE3"/>
    <w:rsid w:val="0048236A"/>
    <w:rsid w:val="00482AAA"/>
    <w:rsid w:val="00482E35"/>
    <w:rsid w:val="00484182"/>
    <w:rsid w:val="00494100"/>
    <w:rsid w:val="004B0885"/>
    <w:rsid w:val="004C38C4"/>
    <w:rsid w:val="004C4A62"/>
    <w:rsid w:val="004E50F9"/>
    <w:rsid w:val="004E6EB0"/>
    <w:rsid w:val="004F0F4F"/>
    <w:rsid w:val="005064C7"/>
    <w:rsid w:val="00514397"/>
    <w:rsid w:val="005364F9"/>
    <w:rsid w:val="0058699C"/>
    <w:rsid w:val="005A3E29"/>
    <w:rsid w:val="005B0810"/>
    <w:rsid w:val="005C0A01"/>
    <w:rsid w:val="005D22A2"/>
    <w:rsid w:val="00601700"/>
    <w:rsid w:val="00634632"/>
    <w:rsid w:val="00651E69"/>
    <w:rsid w:val="006668AA"/>
    <w:rsid w:val="0067245D"/>
    <w:rsid w:val="00677B5E"/>
    <w:rsid w:val="00695921"/>
    <w:rsid w:val="006A0CB8"/>
    <w:rsid w:val="006C3C96"/>
    <w:rsid w:val="006E105C"/>
    <w:rsid w:val="006E232E"/>
    <w:rsid w:val="006F16BA"/>
    <w:rsid w:val="006F54C7"/>
    <w:rsid w:val="00711D74"/>
    <w:rsid w:val="00722288"/>
    <w:rsid w:val="007253DB"/>
    <w:rsid w:val="00727CB9"/>
    <w:rsid w:val="00746038"/>
    <w:rsid w:val="007519C9"/>
    <w:rsid w:val="00773E75"/>
    <w:rsid w:val="007819FB"/>
    <w:rsid w:val="00795441"/>
    <w:rsid w:val="007962AB"/>
    <w:rsid w:val="007977C3"/>
    <w:rsid w:val="007B5A76"/>
    <w:rsid w:val="007C2280"/>
    <w:rsid w:val="007C508C"/>
    <w:rsid w:val="00816915"/>
    <w:rsid w:val="00827B62"/>
    <w:rsid w:val="00861D60"/>
    <w:rsid w:val="00885009"/>
    <w:rsid w:val="008A0662"/>
    <w:rsid w:val="008A29E5"/>
    <w:rsid w:val="008B1BE2"/>
    <w:rsid w:val="008D1BDD"/>
    <w:rsid w:val="00900391"/>
    <w:rsid w:val="00914B36"/>
    <w:rsid w:val="009155D5"/>
    <w:rsid w:val="00917440"/>
    <w:rsid w:val="009339B0"/>
    <w:rsid w:val="00971A10"/>
    <w:rsid w:val="00971D1B"/>
    <w:rsid w:val="00985F56"/>
    <w:rsid w:val="009A0091"/>
    <w:rsid w:val="009A1E10"/>
    <w:rsid w:val="009D3CE9"/>
    <w:rsid w:val="009E548F"/>
    <w:rsid w:val="00A00C79"/>
    <w:rsid w:val="00A22972"/>
    <w:rsid w:val="00A35D37"/>
    <w:rsid w:val="00A41F2F"/>
    <w:rsid w:val="00A64DCE"/>
    <w:rsid w:val="00A807B1"/>
    <w:rsid w:val="00A91E26"/>
    <w:rsid w:val="00AC08E6"/>
    <w:rsid w:val="00B00A0F"/>
    <w:rsid w:val="00B03BFB"/>
    <w:rsid w:val="00B068DD"/>
    <w:rsid w:val="00B07239"/>
    <w:rsid w:val="00B11A6E"/>
    <w:rsid w:val="00B21F81"/>
    <w:rsid w:val="00B24583"/>
    <w:rsid w:val="00B37D38"/>
    <w:rsid w:val="00B5244C"/>
    <w:rsid w:val="00B52749"/>
    <w:rsid w:val="00B610BA"/>
    <w:rsid w:val="00B75995"/>
    <w:rsid w:val="00B86436"/>
    <w:rsid w:val="00B873C8"/>
    <w:rsid w:val="00B9035A"/>
    <w:rsid w:val="00B92012"/>
    <w:rsid w:val="00BA7E34"/>
    <w:rsid w:val="00BB20C8"/>
    <w:rsid w:val="00BC2485"/>
    <w:rsid w:val="00BC2683"/>
    <w:rsid w:val="00BD282D"/>
    <w:rsid w:val="00BE4239"/>
    <w:rsid w:val="00BF472A"/>
    <w:rsid w:val="00C036A5"/>
    <w:rsid w:val="00C34E25"/>
    <w:rsid w:val="00C4282C"/>
    <w:rsid w:val="00C431BF"/>
    <w:rsid w:val="00C43AED"/>
    <w:rsid w:val="00C622CC"/>
    <w:rsid w:val="00C6509A"/>
    <w:rsid w:val="00C74FBD"/>
    <w:rsid w:val="00C82AC0"/>
    <w:rsid w:val="00C83EF1"/>
    <w:rsid w:val="00C853FA"/>
    <w:rsid w:val="00C9235B"/>
    <w:rsid w:val="00CA2AE0"/>
    <w:rsid w:val="00CA4AF0"/>
    <w:rsid w:val="00CB028B"/>
    <w:rsid w:val="00CD4524"/>
    <w:rsid w:val="00CE58D4"/>
    <w:rsid w:val="00CF7705"/>
    <w:rsid w:val="00D0649D"/>
    <w:rsid w:val="00D15A06"/>
    <w:rsid w:val="00D41A3D"/>
    <w:rsid w:val="00D431FC"/>
    <w:rsid w:val="00D6708B"/>
    <w:rsid w:val="00D712DD"/>
    <w:rsid w:val="00D851EC"/>
    <w:rsid w:val="00D93E63"/>
    <w:rsid w:val="00D93F06"/>
    <w:rsid w:val="00DB747B"/>
    <w:rsid w:val="00DC4055"/>
    <w:rsid w:val="00DE1BA0"/>
    <w:rsid w:val="00DE2436"/>
    <w:rsid w:val="00E00815"/>
    <w:rsid w:val="00E02387"/>
    <w:rsid w:val="00E12683"/>
    <w:rsid w:val="00E20FE5"/>
    <w:rsid w:val="00E44E74"/>
    <w:rsid w:val="00E51F8E"/>
    <w:rsid w:val="00E545C6"/>
    <w:rsid w:val="00E5724B"/>
    <w:rsid w:val="00E71BF6"/>
    <w:rsid w:val="00E8738C"/>
    <w:rsid w:val="00E87771"/>
    <w:rsid w:val="00E9600C"/>
    <w:rsid w:val="00E96DCD"/>
    <w:rsid w:val="00E977B2"/>
    <w:rsid w:val="00EB33CE"/>
    <w:rsid w:val="00EB57BD"/>
    <w:rsid w:val="00EC6C82"/>
    <w:rsid w:val="00EC77EE"/>
    <w:rsid w:val="00EE3CA0"/>
    <w:rsid w:val="00EE5077"/>
    <w:rsid w:val="00F01564"/>
    <w:rsid w:val="00F20EFC"/>
    <w:rsid w:val="00F25C28"/>
    <w:rsid w:val="00F2757D"/>
    <w:rsid w:val="00F40C4A"/>
    <w:rsid w:val="00F42745"/>
    <w:rsid w:val="00F661E0"/>
    <w:rsid w:val="00F70CDE"/>
    <w:rsid w:val="00F819C9"/>
    <w:rsid w:val="00F8696F"/>
    <w:rsid w:val="00FA3B1A"/>
    <w:rsid w:val="00FA5C80"/>
    <w:rsid w:val="00FC1ED2"/>
    <w:rsid w:val="00FE2CA4"/>
    <w:rsid w:val="00FF0E34"/>
  </w:rsids>
  <m:mathPr>
    <m:mathFont m:val="Cambria Math"/>
    <m:brkBin m:val="before"/>
    <m:brkBinSub m:val="--"/>
    <m:smallFrac m:val="0"/>
    <m:dispDef/>
    <m:lMargin m:val="0"/>
    <m:rMargin m:val="0"/>
    <m:defJc m:val="centerGroup"/>
    <m:wrapIndent m:val="1440"/>
    <m:intLim m:val="subSup"/>
    <m:naryLim m:val="undOvr"/>
  </m:mathPr>
  <w:themeFontLang w:val="en-IN" w:bidi="as-IN"/>
  <w:clrSchemeMapping w:bg1="light1" w:t1="dark1" w:bg2="light2" w:t2="dark2" w:accent1="accent1" w:accent2="accent2" w:accent3="accent3" w:accent4="accent4" w:accent5="accent5" w:accent6="accent6" w:hyperlink="hyperlink" w:followedHyperlink="followedHyperlink"/>
  <w:decimalSymbol w:val="."/>
  <w:listSeparator w:val=","/>
  <w14:docId w14:val="57FB4C5E"/>
  <w15:chartTrackingRefBased/>
  <w15:docId w15:val="{D4A9FDD1-C91F-5042-AC75-2962537F8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30"/>
        <w:lang w:val="en-IN" w:eastAsia="en-US" w:bidi="as-IN"/>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Vrinda"/>
    </w:rPr>
  </w:style>
  <w:style w:type="paragraph" w:styleId="Heading1">
    <w:name w:val="heading 1"/>
    <w:basedOn w:val="Normal"/>
    <w:next w:val="Normal"/>
    <w:link w:val="Heading1Char"/>
    <w:uiPriority w:val="9"/>
    <w:qFormat/>
    <w:rsid w:val="00B92012"/>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unhideWhenUsed/>
    <w:qFormat/>
    <w:rsid w:val="00B92012"/>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unhideWhenUsed/>
    <w:qFormat/>
    <w:rsid w:val="00B92012"/>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B920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20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201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201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201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201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2012"/>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rsid w:val="00B92012"/>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rsid w:val="00B92012"/>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B920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20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20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20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20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2012"/>
    <w:rPr>
      <w:rFonts w:eastAsiaTheme="majorEastAsia" w:cstheme="majorBidi"/>
      <w:color w:val="272727" w:themeColor="text1" w:themeTint="D8"/>
    </w:rPr>
  </w:style>
  <w:style w:type="paragraph" w:styleId="Title">
    <w:name w:val="Title"/>
    <w:basedOn w:val="Normal"/>
    <w:next w:val="Normal"/>
    <w:link w:val="TitleChar"/>
    <w:uiPriority w:val="10"/>
    <w:qFormat/>
    <w:rsid w:val="00B92012"/>
    <w:pPr>
      <w:spacing w:after="8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B92012"/>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B92012"/>
    <w:pPr>
      <w:numPr>
        <w:ilvl w:val="1"/>
      </w:numPr>
      <w:spacing w:after="160"/>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B92012"/>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B9201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92012"/>
    <w:rPr>
      <w:rFonts w:cs="Vrinda"/>
      <w:i/>
      <w:iCs/>
      <w:color w:val="404040" w:themeColor="text1" w:themeTint="BF"/>
    </w:rPr>
  </w:style>
  <w:style w:type="paragraph" w:styleId="ListParagraph">
    <w:name w:val="List Paragraph"/>
    <w:basedOn w:val="Normal"/>
    <w:uiPriority w:val="34"/>
    <w:qFormat/>
    <w:rsid w:val="00B92012"/>
    <w:pPr>
      <w:ind w:left="720"/>
      <w:contextualSpacing/>
    </w:pPr>
  </w:style>
  <w:style w:type="character" w:styleId="IntenseEmphasis">
    <w:name w:val="Intense Emphasis"/>
    <w:basedOn w:val="DefaultParagraphFont"/>
    <w:uiPriority w:val="21"/>
    <w:qFormat/>
    <w:rsid w:val="00B92012"/>
    <w:rPr>
      <w:i/>
      <w:iCs/>
      <w:color w:val="0F4761" w:themeColor="accent1" w:themeShade="BF"/>
    </w:rPr>
  </w:style>
  <w:style w:type="paragraph" w:styleId="IntenseQuote">
    <w:name w:val="Intense Quote"/>
    <w:basedOn w:val="Normal"/>
    <w:next w:val="Normal"/>
    <w:link w:val="IntenseQuoteChar"/>
    <w:uiPriority w:val="30"/>
    <w:qFormat/>
    <w:rsid w:val="00B920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2012"/>
    <w:rPr>
      <w:rFonts w:cs="Vrinda"/>
      <w:i/>
      <w:iCs/>
      <w:color w:val="0F4761" w:themeColor="accent1" w:themeShade="BF"/>
    </w:rPr>
  </w:style>
  <w:style w:type="character" w:styleId="IntenseReference">
    <w:name w:val="Intense Reference"/>
    <w:basedOn w:val="DefaultParagraphFont"/>
    <w:uiPriority w:val="32"/>
    <w:qFormat/>
    <w:rsid w:val="00B92012"/>
    <w:rPr>
      <w:b/>
      <w:bCs/>
      <w:smallCaps/>
      <w:color w:val="0F4761" w:themeColor="accent1" w:themeShade="BF"/>
      <w:spacing w:val="5"/>
    </w:rPr>
  </w:style>
  <w:style w:type="paragraph" w:styleId="NormalWeb">
    <w:name w:val="Normal (Web)"/>
    <w:basedOn w:val="Normal"/>
    <w:uiPriority w:val="99"/>
    <w:semiHidden/>
    <w:unhideWhenUsed/>
    <w:rsid w:val="00B92012"/>
    <w:pPr>
      <w:spacing w:before="100" w:beforeAutospacing="1" w:after="100" w:afterAutospacing="1"/>
    </w:pPr>
    <w:rPr>
      <w:rFonts w:ascii="Times New Roman" w:eastAsia="Times New Roman" w:hAnsi="Times New Roman" w:cs="Times New Roman"/>
      <w:kern w:val="0"/>
      <w:szCs w:val="24"/>
      <w:lang w:eastAsia="en-GB"/>
      <w14:ligatures w14:val="none"/>
    </w:rPr>
  </w:style>
  <w:style w:type="character" w:styleId="Strong">
    <w:name w:val="Strong"/>
    <w:basedOn w:val="DefaultParagraphFont"/>
    <w:uiPriority w:val="22"/>
    <w:qFormat/>
    <w:rsid w:val="00B92012"/>
    <w:rPr>
      <w:b/>
      <w:bCs/>
    </w:rPr>
  </w:style>
  <w:style w:type="character" w:styleId="Emphasis">
    <w:name w:val="Emphasis"/>
    <w:basedOn w:val="DefaultParagraphFont"/>
    <w:uiPriority w:val="20"/>
    <w:qFormat/>
    <w:rsid w:val="00B920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1666</Words>
  <Characters>9497</Characters>
  <Application>Microsoft Office Word</Application>
  <DocSecurity>0</DocSecurity>
  <Lines>79</Lines>
  <Paragraphs>22</Paragraphs>
  <ScaleCrop>false</ScaleCrop>
  <Company/>
  <LinksUpToDate>false</LinksUpToDate>
  <CharactersWithSpaces>11141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Ananta Saikia</dc:creator>
  <cp:keywords/>
  <dc:description/>
  <cp:lastModifiedBy>Ananta Saikia</cp:lastModifiedBy>
  <cp:revision>1</cp:revision>
  <dcterms:created xsi:type="dcterms:W3CDTF">2026-10-14T07:40:00Z</dcterms:created>
  <dcterms:modified xsi:type="dcterms:W3CDTF">2026-10-14T07:50:00Z</dcterms:modified>
</cp:coreProperties>
</file>